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867" w:rsidRDefault="003A0C85" w:rsidP="003E1867">
      <w:pPr>
        <w:rPr>
          <w:caps/>
        </w:rPr>
      </w:pPr>
      <w:r>
        <w:t>1.</w:t>
      </w:r>
      <w:proofErr w:type="gramStart"/>
      <w:r>
        <w:t>3</w:t>
      </w:r>
      <w:r w:rsidR="003E1867">
        <w:t xml:space="preserve">  DIMENSÃO</w:t>
      </w:r>
      <w:proofErr w:type="gramEnd"/>
      <w:r w:rsidR="007952B6">
        <w:t xml:space="preserve"> D</w:t>
      </w:r>
      <w:r w:rsidR="004F5371">
        <w:t xml:space="preserve">E </w:t>
      </w:r>
      <w:r w:rsidR="00C3185D">
        <w:rPr>
          <w:caps/>
        </w:rPr>
        <w:t>GÉNERO</w:t>
      </w:r>
      <w:r w:rsidR="007D74EE">
        <w:rPr>
          <w:caps/>
        </w:rPr>
        <w:t xml:space="preserve"> E RELEVÂNCIA  PARA O ESTUDO </w:t>
      </w:r>
    </w:p>
    <w:p w:rsidR="007D74EE" w:rsidRDefault="007D74EE" w:rsidP="003E1867"/>
    <w:p w:rsidR="004F5371" w:rsidRDefault="003A0C85" w:rsidP="003E1867">
      <w:r>
        <w:t>1.3</w:t>
      </w:r>
      <w:r w:rsidR="00CF4606">
        <w:t>.1</w:t>
      </w:r>
      <w:r w:rsidR="007D74EE">
        <w:t xml:space="preserve"> </w:t>
      </w:r>
      <w:r>
        <w:t>SENSIBILIDADE AO GÉNERO</w:t>
      </w:r>
    </w:p>
    <w:p w:rsidR="007D74EE" w:rsidRDefault="007D74EE" w:rsidP="003E1867"/>
    <w:p w:rsidR="003A0C85" w:rsidRDefault="003E1867" w:rsidP="003E1867">
      <w:pPr>
        <w:jc w:val="both"/>
      </w:pPr>
      <w:r>
        <w:t xml:space="preserve">Veio a propósito o trabalho de RATO </w:t>
      </w:r>
      <w:proofErr w:type="spellStart"/>
      <w:r>
        <w:t>et</w:t>
      </w:r>
      <w:proofErr w:type="spellEnd"/>
      <w:r>
        <w:t xml:space="preserve"> al. (2005: 19) «Promoção da Igualdade de Género», que aborda, de uma forma básica, conceitos da temática, em redor de cujas definições biológicas e sociais, se originam estereótipos, que se afirmam em traços de género, no que os homens e as mulheres devem </w:t>
      </w:r>
      <w:r w:rsidR="005E5785">
        <w:t>ser</w:t>
      </w:r>
      <w:r>
        <w:t xml:space="preserve">, bem como, o que devem </w:t>
      </w:r>
      <w:r w:rsidR="005E5785">
        <w:t>fazer,</w:t>
      </w:r>
      <w:r w:rsidR="003A0C85">
        <w:t xml:space="preserve"> e o</w:t>
      </w:r>
      <w:r>
        <w:t xml:space="preserve"> que constitui a delimitação de papéis de género a desempenhar. </w:t>
      </w:r>
    </w:p>
    <w:p w:rsidR="007952B6" w:rsidRDefault="003A0C85" w:rsidP="003E1867">
      <w:pPr>
        <w:jc w:val="both"/>
      </w:pPr>
      <w:r>
        <w:t>É</w:t>
      </w:r>
      <w:r w:rsidR="005E5785">
        <w:t xml:space="preserve"> assim que, com Helena RATO, conseguimos definir o</w:t>
      </w:r>
      <w:r w:rsidR="003E1867">
        <w:t xml:space="preserve"> conceito de sexo</w:t>
      </w:r>
      <w:r w:rsidR="005E5785">
        <w:t xml:space="preserve">, </w:t>
      </w:r>
      <w:r w:rsidR="006F0D34">
        <w:t>ao qual se</w:t>
      </w:r>
      <w:r w:rsidR="005E5785">
        <w:t xml:space="preserve"> </w:t>
      </w:r>
      <w:proofErr w:type="gramStart"/>
      <w:r w:rsidR="003E1867">
        <w:t>reporta</w:t>
      </w:r>
      <w:r w:rsidR="006F0D34">
        <w:t>m</w:t>
      </w:r>
      <w:r w:rsidR="003E1867">
        <w:t xml:space="preserve"> </w:t>
      </w:r>
      <w:r w:rsidR="005E5785">
        <w:t xml:space="preserve"> </w:t>
      </w:r>
      <w:r w:rsidR="003E1867">
        <w:t>a</w:t>
      </w:r>
      <w:r w:rsidR="006F0D34">
        <w:t>s</w:t>
      </w:r>
      <w:proofErr w:type="gramEnd"/>
      <w:r w:rsidR="003E1867">
        <w:t xml:space="preserve"> características biológicas que diferenciam as mulheres e os homens.</w:t>
      </w:r>
      <w:r w:rsidR="006F0D34">
        <w:t xml:space="preserve"> </w:t>
      </w:r>
      <w:r w:rsidR="005E5785">
        <w:t xml:space="preserve">E </w:t>
      </w:r>
      <w:r w:rsidR="006F0D34">
        <w:t xml:space="preserve">definimos </w:t>
      </w:r>
      <w:r w:rsidR="005E5785">
        <w:t>o</w:t>
      </w:r>
      <w:r w:rsidR="003E1867">
        <w:t xml:space="preserve"> conceito de género</w:t>
      </w:r>
      <w:r w:rsidR="005E5785">
        <w:t>,</w:t>
      </w:r>
      <w:r w:rsidR="006F0D34">
        <w:t xml:space="preserve"> como </w:t>
      </w:r>
      <w:proofErr w:type="gramStart"/>
      <w:r w:rsidR="006F0D34">
        <w:t xml:space="preserve">o </w:t>
      </w:r>
      <w:r w:rsidR="005E5785">
        <w:t xml:space="preserve"> que</w:t>
      </w:r>
      <w:proofErr w:type="gramEnd"/>
      <w:r w:rsidR="005E5785">
        <w:t xml:space="preserve"> se </w:t>
      </w:r>
      <w:r w:rsidR="003E1867">
        <w:t>refere ás diferenças sociais entre homens e mulheres, as quais são tradicionalmente definidas pela socialização. T</w:t>
      </w:r>
      <w:r>
        <w:t>ê</w:t>
      </w:r>
      <w:r w:rsidR="003E1867">
        <w:t>m por base representações (crenças, ideias e valores) em torno do sexo biológico, passando por uma construção social do que é a masculinidade, e do que é a feminilidade</w:t>
      </w:r>
      <w:r w:rsidR="002C3ACC">
        <w:t xml:space="preserve"> (</w:t>
      </w:r>
      <w:proofErr w:type="gramStart"/>
      <w:r w:rsidR="002C3ACC">
        <w:t>RATO</w:t>
      </w:r>
      <w:r w:rsidR="001C681E">
        <w:t xml:space="preserve">, </w:t>
      </w:r>
      <w:r w:rsidR="002C3ACC">
        <w:t xml:space="preserve"> 2005</w:t>
      </w:r>
      <w:proofErr w:type="gramEnd"/>
      <w:r w:rsidR="002C3ACC">
        <w:t>: 19)</w:t>
      </w:r>
      <w:r w:rsidR="006F0D34">
        <w:t>.</w:t>
      </w:r>
    </w:p>
    <w:p w:rsidR="003E1867" w:rsidRDefault="002C3ACC" w:rsidP="003E1867">
      <w:pPr>
        <w:jc w:val="both"/>
      </w:pPr>
      <w:r>
        <w:t>C</w:t>
      </w:r>
      <w:r w:rsidR="003E1867">
        <w:t>onstrução do conceito de género</w:t>
      </w:r>
      <w:r>
        <w:t xml:space="preserve">, </w:t>
      </w:r>
      <w:r w:rsidR="003E1867">
        <w:t xml:space="preserve">é </w:t>
      </w:r>
      <w:r>
        <w:t>também</w:t>
      </w:r>
      <w:r w:rsidR="003A0C85">
        <w:t>,</w:t>
      </w:r>
      <w:r>
        <w:t xml:space="preserve"> </w:t>
      </w:r>
      <w:r w:rsidR="003E1867">
        <w:t xml:space="preserve">a descrita no texto da Comissão Nacional </w:t>
      </w:r>
      <w:proofErr w:type="gramStart"/>
      <w:r w:rsidR="003E1867">
        <w:t>de</w:t>
      </w:r>
      <w:proofErr w:type="gramEnd"/>
      <w:r w:rsidR="003E1867">
        <w:t xml:space="preserve"> Combate à Sida Moçambique, o qual diz que «Género está influenciado pelas características de uma sociedade, da educação, de normas, de hábitos, de leis, de crenças, </w:t>
      </w:r>
      <w:proofErr w:type="spellStart"/>
      <w:r w:rsidR="003E1867">
        <w:t>etc</w:t>
      </w:r>
      <w:proofErr w:type="spellEnd"/>
      <w:r w:rsidR="003E1867">
        <w:t xml:space="preserve">», e portanto; «Género representa tudo o que se considera típico para homens e mulheres de uma cultura (por exemplo: roupa, profissão, comportamento, </w:t>
      </w:r>
      <w:proofErr w:type="spellStart"/>
      <w:r w:rsidR="003E1867">
        <w:t>etc</w:t>
      </w:r>
      <w:proofErr w:type="spellEnd"/>
      <w:r w:rsidR="003E1867">
        <w:t>)»</w:t>
      </w:r>
      <w:r w:rsidR="003E1867" w:rsidRPr="009F311C">
        <w:t xml:space="preserve"> </w:t>
      </w:r>
      <w:r w:rsidR="007952B6">
        <w:t>(CNCS</w:t>
      </w:r>
      <w:r w:rsidR="001C681E">
        <w:t xml:space="preserve">, </w:t>
      </w:r>
      <w:r w:rsidR="007952B6">
        <w:t>2011: 1).</w:t>
      </w:r>
    </w:p>
    <w:p w:rsidR="00533DAC" w:rsidRDefault="005E5785" w:rsidP="003E1867">
      <w:pPr>
        <w:jc w:val="both"/>
      </w:pPr>
      <w:r>
        <w:t>Posto o conceito de sexo e de género</w:t>
      </w:r>
      <w:r w:rsidR="005D3739">
        <w:t>,</w:t>
      </w:r>
      <w:r>
        <w:t xml:space="preserve"> é ainda </w:t>
      </w:r>
      <w:r w:rsidR="005D3739">
        <w:t>com</w:t>
      </w:r>
      <w:r w:rsidR="00533DAC">
        <w:t xml:space="preserve"> Helena RATO</w:t>
      </w:r>
      <w:r w:rsidR="001C681E">
        <w:t xml:space="preserve"> (chefiando uma equipa de investigadores),</w:t>
      </w:r>
      <w:r w:rsidR="00533DAC">
        <w:t xml:space="preserve"> </w:t>
      </w:r>
      <w:r w:rsidR="005D3739">
        <w:t xml:space="preserve">que se </w:t>
      </w:r>
      <w:r w:rsidR="00533DAC">
        <w:t xml:space="preserve">estabelece a </w:t>
      </w:r>
      <w:proofErr w:type="gramStart"/>
      <w:r w:rsidR="00533DAC">
        <w:t>problemática  da</w:t>
      </w:r>
      <w:proofErr w:type="gramEnd"/>
      <w:r w:rsidR="00533DAC">
        <w:t xml:space="preserve"> IGUALDADE</w:t>
      </w:r>
      <w:r w:rsidR="005D3739">
        <w:t xml:space="preserve"> de Género (conforme o título do seu trabalho</w:t>
      </w:r>
      <w:r w:rsidR="001C681E">
        <w:t>, «Promoção da Igualdade de Género», vol.1,</w:t>
      </w:r>
      <w:r w:rsidR="00533DAC">
        <w:t xml:space="preserve"> </w:t>
      </w:r>
      <w:r w:rsidR="005D3739">
        <w:t xml:space="preserve">referenciado na Bibliografia), </w:t>
      </w:r>
      <w:r w:rsidR="00533DAC">
        <w:t>isto é,</w:t>
      </w:r>
      <w:r w:rsidR="00F0704D">
        <w:t xml:space="preserve"> </w:t>
      </w:r>
      <w:r w:rsidR="00533DAC">
        <w:t xml:space="preserve"> </w:t>
      </w:r>
      <w:r w:rsidR="00F0704D">
        <w:t>«</w:t>
      </w:r>
      <w:r w:rsidR="00533DAC">
        <w:t>o DIREITO À DIFERENÇA significa que se VALORIZE DE IGUAL MODO, os distintos papéis que homens e mulheres desempenham na sociedade</w:t>
      </w:r>
      <w:r w:rsidR="00155D3E">
        <w:t>» (RATO</w:t>
      </w:r>
      <w:r w:rsidR="001C681E">
        <w:t>,</w:t>
      </w:r>
      <w:r w:rsidR="00155D3E">
        <w:t xml:space="preserve"> 2005: 20)</w:t>
      </w:r>
      <w:r w:rsidR="00F0704D">
        <w:t xml:space="preserve"> </w:t>
      </w:r>
      <w:r w:rsidR="00A830A6">
        <w:t xml:space="preserve">(as maiúsculas são da nossa responsabilidade),  </w:t>
      </w:r>
      <w:r w:rsidR="00052BE6">
        <w:t>ou seja, que</w:t>
      </w:r>
      <w:r w:rsidR="005F73EA">
        <w:t xml:space="preserve"> «</w:t>
      </w:r>
      <w:r w:rsidR="00052BE6">
        <w:t>e</w:t>
      </w:r>
      <w:r w:rsidR="005F73EA">
        <w:t xml:space="preserve">sta </w:t>
      </w:r>
      <w:r w:rsidR="002C3ACC">
        <w:t xml:space="preserve">IGUALDADE </w:t>
      </w:r>
      <w:r w:rsidR="005F73EA">
        <w:t xml:space="preserve">de género </w:t>
      </w:r>
      <w:r w:rsidR="00F0704D">
        <w:t>(…) é inerente ao fato de homens e mulheres</w:t>
      </w:r>
      <w:r w:rsidR="00052BE6">
        <w:t xml:space="preserve"> serem os dois elementos constitutivos da humanidade e pressupõe uma igual visibilidade, empoderamento e participação</w:t>
      </w:r>
      <w:r w:rsidR="00155D3E">
        <w:t xml:space="preserve"> de ambos os sexos em todas as esferas da vida pública e privada</w:t>
      </w:r>
      <w:r w:rsidR="001C681E">
        <w:t>» (RATO,</w:t>
      </w:r>
      <w:r w:rsidR="00A830A6">
        <w:t xml:space="preserve"> 2005: 19, </w:t>
      </w:r>
      <w:proofErr w:type="spellStart"/>
      <w:r w:rsidR="00A830A6">
        <w:t>cit</w:t>
      </w:r>
      <w:proofErr w:type="spellEnd"/>
      <w:r w:rsidR="00A830A6">
        <w:t xml:space="preserve"> COMISSÃO PARA A IGUA</w:t>
      </w:r>
      <w:r w:rsidR="001C681E">
        <w:t>LDADE E PARA OS DIREITOS DAS MUL</w:t>
      </w:r>
      <w:r w:rsidR="00A830A6">
        <w:t>HERES – CIDM, 1999: 13)</w:t>
      </w:r>
      <w:r w:rsidR="00155D3E">
        <w:t xml:space="preserve"> Este «Direito à D</w:t>
      </w:r>
      <w:r w:rsidR="00681FDA">
        <w:t xml:space="preserve">IFERENÇA </w:t>
      </w:r>
      <w:r w:rsidR="00155D3E">
        <w:t xml:space="preserve"> entre</w:t>
      </w:r>
      <w:r w:rsidR="002C3ACC">
        <w:t xml:space="preserve"> mulheres e homens inclui </w:t>
      </w:r>
      <w:r w:rsidR="00A830A6">
        <w:t>[</w:t>
      </w:r>
      <w:r w:rsidR="002C3ACC">
        <w:t xml:space="preserve">o </w:t>
      </w:r>
      <w:r w:rsidR="00A830A6">
        <w:t>direito</w:t>
      </w:r>
      <w:r w:rsidR="005D3739">
        <w:t xml:space="preserve"> </w:t>
      </w:r>
      <w:r w:rsidR="002C3ACC">
        <w:t xml:space="preserve">de </w:t>
      </w:r>
      <w:r w:rsidR="005D3739">
        <w:t xml:space="preserve">diferentes] </w:t>
      </w:r>
      <w:r w:rsidR="002C3ACC">
        <w:t>classes sociais, opiniões políticas, religiões, etnias, raças ou preferências sexuais</w:t>
      </w:r>
      <w:r w:rsidR="00681FDA">
        <w:t xml:space="preserve">» </w:t>
      </w:r>
      <w:r w:rsidR="00EA2DBE">
        <w:t>(RATO, 2005</w:t>
      </w:r>
      <w:r w:rsidR="00681FDA">
        <w:t>: 20).</w:t>
      </w:r>
    </w:p>
    <w:p w:rsidR="00D776CA" w:rsidRDefault="003E1867" w:rsidP="003E1867">
      <w:pPr>
        <w:jc w:val="both"/>
      </w:pPr>
      <w:r>
        <w:t>O debate sobre o Género em África e Moçambique prossegue com GERALDO (2010: 1) tendo sido este um dos primeiros autores que nós desenvolvemos por acharmos inovador o seu conceit</w:t>
      </w:r>
      <w:r w:rsidR="007952B6">
        <w:t xml:space="preserve">o de Categoria </w:t>
      </w:r>
      <w:proofErr w:type="gramStart"/>
      <w:r w:rsidR="007952B6">
        <w:t>Relacional ,</w:t>
      </w:r>
      <w:proofErr w:type="gramEnd"/>
      <w:r w:rsidR="007952B6">
        <w:t xml:space="preserve"> </w:t>
      </w:r>
      <w:r w:rsidR="00D776CA">
        <w:t>baseado na interpretação de género, e sua diversidade empírica de papeis. Reconhece-se neste contex</w:t>
      </w:r>
      <w:r w:rsidR="00BD588D">
        <w:t>t</w:t>
      </w:r>
      <w:r w:rsidR="00D776CA">
        <w:t xml:space="preserve">o que a dualidade de sexos, fruto da dualidade cultural, ainda se baseia na desigualdade de oportunidades, na Educação e no Trabalho, </w:t>
      </w:r>
      <w:r w:rsidR="00093EE9">
        <w:t xml:space="preserve">cujo resultado é procurar romper com a Dualidade Tradicional, abrangendo outras, ou diversas, Tendências Sexuais, sustentando a tese </w:t>
      </w:r>
      <w:proofErr w:type="spellStart"/>
      <w:r w:rsidR="00093EE9">
        <w:t>homossexualista</w:t>
      </w:r>
      <w:proofErr w:type="spellEnd"/>
      <w:r w:rsidR="00093EE9">
        <w:t xml:space="preserve"> (GERALDO, 2010: 11).</w:t>
      </w:r>
    </w:p>
    <w:p w:rsidR="00093EE9" w:rsidRDefault="00093EE9" w:rsidP="003E1867">
      <w:pPr>
        <w:jc w:val="both"/>
      </w:pPr>
      <w:r>
        <w:lastRenderedPageBreak/>
        <w:t>Género</w:t>
      </w:r>
      <w:proofErr w:type="gramStart"/>
      <w:r>
        <w:t>,</w:t>
      </w:r>
      <w:proofErr w:type="gramEnd"/>
      <w:r>
        <w:t xml:space="preserve"> é Categoria Relacional, </w:t>
      </w:r>
      <w:r w:rsidR="00F22DD2">
        <w:t xml:space="preserve">porque defende a construção social ao longo do tempo. É neste sentido que assistimos à desconstrução, e logo portanto, à redefinição da categoria, ou seja, papéis sociais masculinos desempenhados por mulheres, e papéis sociais </w:t>
      </w:r>
      <w:r w:rsidR="00987C03">
        <w:t>femininos desempenhados por homens (GERALDO, 2010: 6).</w:t>
      </w:r>
    </w:p>
    <w:p w:rsidR="00987C03" w:rsidRDefault="00987C03" w:rsidP="003E1867">
      <w:pPr>
        <w:jc w:val="both"/>
      </w:pPr>
      <w:r>
        <w:t>Pelo que, sendo o Género uma Categoria Relacional, que procura ir além do tradicional dual sexual (H/M), para chegar à conclusão</w:t>
      </w:r>
      <w:r w:rsidR="002351C4">
        <w:t xml:space="preserve"> abrangente</w:t>
      </w:r>
      <w:r>
        <w:t>, de que</w:t>
      </w:r>
      <w:r w:rsidR="002351C4">
        <w:t xml:space="preserve"> pode não coincidir o sexo biológico, com o papel social desempenhado. Ou seja, atualmente, em algumas sociedades, há papéis outrora femininos, que passam a ser unissexo, pelo que, se revestem de</w:t>
      </w:r>
      <w:r w:rsidR="008C240F">
        <w:t xml:space="preserve"> alguma democratização, cuja sua alternância na ordem moderna, é tornada difícil, </w:t>
      </w:r>
      <w:proofErr w:type="gramStart"/>
      <w:r w:rsidR="008C240F">
        <w:t>pelo o</w:t>
      </w:r>
      <w:proofErr w:type="gramEnd"/>
      <w:r w:rsidR="008C240F">
        <w:t xml:space="preserve"> ainda dualismo cultural (GERALDO, 2010: 10).</w:t>
      </w:r>
    </w:p>
    <w:p w:rsidR="00723B09" w:rsidRDefault="00723B09" w:rsidP="003E1867">
      <w:pPr>
        <w:jc w:val="both"/>
      </w:pPr>
      <w:r>
        <w:t xml:space="preserve">GERALDO, 2010: 9, </w:t>
      </w:r>
      <w:proofErr w:type="spellStart"/>
      <w:r>
        <w:t>cit</w:t>
      </w:r>
      <w:proofErr w:type="spellEnd"/>
      <w:r>
        <w:t xml:space="preserve"> HIRVONEN &amp; BRAGA, 1999: 9, diz que com a Independência Nacional, </w:t>
      </w:r>
      <w:r w:rsidR="004141AA">
        <w:t xml:space="preserve">se </w:t>
      </w:r>
      <w:r>
        <w:t xml:space="preserve">reconheceu a igualdade de direitos e deveres entre </w:t>
      </w:r>
      <w:proofErr w:type="gramStart"/>
      <w:r>
        <w:t>homens  e</w:t>
      </w:r>
      <w:proofErr w:type="gramEnd"/>
      <w:r>
        <w:t xml:space="preserve"> mulheres, como também se proclama a emancipação da mulher</w:t>
      </w:r>
      <w:r w:rsidR="00AD3C9F">
        <w:t>, como uma das tarefas primordiais do Estado. O fator decisor da emancipação da mulher era a construção da sociedade socialista. Na prática, as mulheres continuaram subalternas, uma vez que ao nível da Organização das Mulheres Moçambicanas (OMM) estas continuaram</w:t>
      </w:r>
      <w:r w:rsidR="002118CF">
        <w:t xml:space="preserve"> a ser instrumentalizadas. A simples distinção dos homens na base do dualismo sexual</w:t>
      </w:r>
      <w:proofErr w:type="gramStart"/>
      <w:r w:rsidR="002118CF">
        <w:t>,</w:t>
      </w:r>
      <w:proofErr w:type="gramEnd"/>
      <w:r w:rsidR="002118CF">
        <w:t xml:space="preserve"> retrata</w:t>
      </w:r>
      <w:r w:rsidR="00526259">
        <w:t>m</w:t>
      </w:r>
      <w:r w:rsidR="002118CF">
        <w:t xml:space="preserve"> a mulher como o lado fraco do ser: mulher mãe, mulher protetora dos filhos, mulher cozinheira. Ou então na forma emancipada</w:t>
      </w:r>
      <w:r w:rsidR="00B913A8">
        <w:t>: antes atrasada em relação ao homem, agora operária, militar/ combatente, professora, ministra da Educação (Graça Machel) (GERALDO, 2010: 9-10).</w:t>
      </w:r>
    </w:p>
    <w:p w:rsidR="003E1867" w:rsidRDefault="003E1867" w:rsidP="003E1867">
      <w:pPr>
        <w:jc w:val="both"/>
      </w:pPr>
      <w:r>
        <w:t xml:space="preserve">Com AMÂNCIO (1994: 33) a discussão estabelece-se sobre a análise das Diferenças Entre os Sexos, na Psicologia, e sobre a Divisão Sexual do Trabalho, na Sociologia. A </w:t>
      </w:r>
      <w:proofErr w:type="gramStart"/>
      <w:r>
        <w:t>perspetiva  na</w:t>
      </w:r>
      <w:proofErr w:type="gramEnd"/>
      <w:r>
        <w:t xml:space="preserve"> abordagem psicossociológica da Discriminação da Mulher no Trabalho não é, no entanto, dominante. </w:t>
      </w:r>
      <w:proofErr w:type="gramStart"/>
      <w:r>
        <w:t>A  distinção</w:t>
      </w:r>
      <w:proofErr w:type="gramEnd"/>
      <w:r>
        <w:t xml:space="preserve"> entre sexos que caracteriza a Psicologia Diferencial de Sexos caracteriza também o Género, em termos de pensamento ou sistemas de crenças que lhes estão associados, isto é  que englobam estereótipos e representações sobre as características e papéis de homens e mulheres na sociedade (AMÂNCIO</w:t>
      </w:r>
      <w:r w:rsidR="00526259">
        <w:t xml:space="preserve">, 1994: 26, </w:t>
      </w:r>
      <w:proofErr w:type="spellStart"/>
      <w:r w:rsidR="00526259">
        <w:t>cit</w:t>
      </w:r>
      <w:proofErr w:type="spellEnd"/>
      <w:r w:rsidR="00526259">
        <w:t xml:space="preserve"> DEAUX,</w:t>
      </w:r>
      <w:r>
        <w:t xml:space="preserve"> 1984ª, 1985: 27).</w:t>
      </w:r>
    </w:p>
    <w:p w:rsidR="003E1867" w:rsidRDefault="003E1867" w:rsidP="003E1867">
      <w:pPr>
        <w:jc w:val="both"/>
      </w:pPr>
      <w:r>
        <w:t xml:space="preserve">O facto dos indivíduos dos dois sexos terem Internalizado as normas e características socialmente adequados à sua identidade de género, aparece como a principal determinante das diferenças entre os sexos. O processo de Socialização pode explicar o modo como as pessoas constroem as suas Identidades de Género, visto que os indivíduos já nascem num sistema social que produziu conteúdos simbólicos associados ao sexo, que os processos de socialização se limitam a reproduzir [ancoragem]. </w:t>
      </w:r>
    </w:p>
    <w:p w:rsidR="003E1867" w:rsidRDefault="003E1867" w:rsidP="003E1867">
      <w:pPr>
        <w:jc w:val="both"/>
      </w:pPr>
      <w:r>
        <w:t xml:space="preserve">«O que parece acontecer no caso da Diferenciação baseada no Sexo é que o </w:t>
      </w:r>
      <w:r w:rsidRPr="00326F5B">
        <w:rPr>
          <w:caps/>
        </w:rPr>
        <w:t>Senso Comum</w:t>
      </w:r>
      <w:r>
        <w:t xml:space="preserve"> associa um conjunto de características de personalidade e orientações de comportamento, organizados em modos de ser homem e de ser mulher, que não se fundamentam nas Diferenças Biológicas» (AMÂNCIO</w:t>
      </w:r>
      <w:r w:rsidR="00526259">
        <w:t xml:space="preserve">, </w:t>
      </w:r>
      <w:r>
        <w:t>1994: 33)</w:t>
      </w:r>
    </w:p>
    <w:p w:rsidR="003E1867" w:rsidRDefault="003E1867" w:rsidP="003E1867">
      <w:pPr>
        <w:jc w:val="both"/>
      </w:pPr>
      <w:r>
        <w:t xml:space="preserve">A discussão sobre </w:t>
      </w:r>
      <w:proofErr w:type="gramStart"/>
      <w:r>
        <w:t>a  análise</w:t>
      </w:r>
      <w:proofErr w:type="gramEnd"/>
      <w:r>
        <w:t xml:space="preserve"> das Diferenças entre os Sexos na Psicologia e sobre a Divisão Sexual do Trabalho na Sociologia, permite-nos mostrar que no pensamento do senso comum, esta desigualdade de sentido,</w:t>
      </w:r>
      <w:r w:rsidR="004141AA">
        <w:t xml:space="preserve"> se</w:t>
      </w:r>
      <w:r>
        <w:t xml:space="preserve"> revela</w:t>
      </w:r>
      <w:r w:rsidR="004141AA">
        <w:t xml:space="preserve"> </w:t>
      </w:r>
      <w:r>
        <w:t xml:space="preserve"> no processo de Categorização Social entre o masculino </w:t>
      </w:r>
      <w:r>
        <w:lastRenderedPageBreak/>
        <w:t xml:space="preserve">e o feminino. Estas dimensões explicativas do comportamento de homens e mulheres estão interligadas numa Relação de Produção de Sentido [como participam na Produção de Sentido as linguagens: a palavra, o tom, a mímica facial, o gesto, </w:t>
      </w:r>
      <w:proofErr w:type="spellStart"/>
      <w:r>
        <w:t>etc</w:t>
      </w:r>
      <w:proofErr w:type="spellEnd"/>
      <w:r>
        <w:t>] (AMÂ</w:t>
      </w:r>
      <w:r w:rsidR="00526259">
        <w:t>NCIO,</w:t>
      </w:r>
      <w:r>
        <w:t xml:space="preserve"> 1994: 33). Esta forma de pensamento Social transforma diferentes Representações de Condições de Produção numa Ideologia </w:t>
      </w:r>
      <w:proofErr w:type="spellStart"/>
      <w:r>
        <w:t>Colectiva</w:t>
      </w:r>
      <w:proofErr w:type="spellEnd"/>
      <w:r>
        <w:t>, cujo entendimento não social, é contudo ideológico pois a compreensão dos sentidos é sempre um</w:t>
      </w:r>
      <w:r w:rsidR="00B867B5">
        <w:t xml:space="preserve"> confronto entre inúmeras vozes [instituições governamentais e não governamentais e internacionais].</w:t>
      </w:r>
    </w:p>
    <w:p w:rsidR="00953A8E" w:rsidRDefault="00953A8E"/>
    <w:p w:rsidR="00A3596A" w:rsidRDefault="00A3596A"/>
    <w:p w:rsidR="00A3596A" w:rsidRDefault="00A3596A"/>
    <w:p w:rsidR="00A3596A" w:rsidRDefault="00A3596A"/>
    <w:p w:rsidR="00A3596A" w:rsidRDefault="006C59A7">
      <w:r>
        <w:t>1.3.</w:t>
      </w:r>
      <w:proofErr w:type="gramStart"/>
      <w:r>
        <w:t>2  DUALIDADE</w:t>
      </w:r>
      <w:proofErr w:type="gramEnd"/>
      <w:r>
        <w:t xml:space="preserve"> SEXUAL, na estrutura política</w:t>
      </w:r>
      <w:r w:rsidR="00CC7F73">
        <w:t xml:space="preserve"> e antropológica</w:t>
      </w:r>
    </w:p>
    <w:p w:rsidR="00CC7F73" w:rsidRDefault="00CC7F73"/>
    <w:p w:rsidR="00CC7F73" w:rsidRDefault="00CC7F73" w:rsidP="00CC7F73">
      <w:pPr>
        <w:jc w:val="both"/>
      </w:pPr>
      <w:r>
        <w:t>O debate sobre o Género em África e Moçambique está carregado de dualismo sexual, entendendo-o primeiro, como um conceito de classificação biológica</w:t>
      </w:r>
      <w:r w:rsidR="003F4B81">
        <w:t xml:space="preserve"> e depois </w:t>
      </w:r>
      <w:r w:rsidR="00522FFE">
        <w:t>n</w:t>
      </w:r>
      <w:r w:rsidR="003F4B81">
        <w:t xml:space="preserve">uma situação entre género e a realidade empírica a que </w:t>
      </w:r>
      <w:r w:rsidR="004F3F01">
        <w:t xml:space="preserve">esta </w:t>
      </w:r>
      <w:r w:rsidR="003F4B81">
        <w:t>se refere.</w:t>
      </w:r>
    </w:p>
    <w:p w:rsidR="00F250D1" w:rsidRDefault="003F4B81" w:rsidP="00CC7F73">
      <w:pPr>
        <w:jc w:val="both"/>
      </w:pPr>
      <w:r>
        <w:t xml:space="preserve">Em termos estruturais e </w:t>
      </w:r>
      <w:proofErr w:type="gramStart"/>
      <w:r>
        <w:t>políticos ,</w:t>
      </w:r>
      <w:proofErr w:type="gramEnd"/>
      <w:r>
        <w:t xml:space="preserve"> o dualismo sexual é geralmente difundido, no seio de uma Estrutura Dual. Segundo </w:t>
      </w:r>
      <w:r w:rsidR="00522FFE">
        <w:t>LÉVI-STRAUSS,</w:t>
      </w:r>
      <w:r>
        <w:t xml:space="preserve"> </w:t>
      </w:r>
      <w:r w:rsidR="00522FFE">
        <w:t>1963: 133, «As comunidades (</w:t>
      </w:r>
      <w:proofErr w:type="spellStart"/>
      <w:r w:rsidR="00522FFE">
        <w:t>Winnebago</w:t>
      </w:r>
      <w:proofErr w:type="spellEnd"/>
      <w:r w:rsidR="00522FFE">
        <w:t>) são formalmente divididas</w:t>
      </w:r>
      <w:r w:rsidR="004F3F01">
        <w:t xml:space="preserve"> em duas metades (os que estão acima e os que estão abaixo). Estas metades são exógenas e também claramente recíprocas em direitos e deveres»</w:t>
      </w:r>
      <w:r w:rsidR="000A0DED">
        <w:t xml:space="preserve">. </w:t>
      </w:r>
      <w:r w:rsidR="009E1C09">
        <w:t xml:space="preserve">Exemplos </w:t>
      </w:r>
      <w:proofErr w:type="gramStart"/>
      <w:r w:rsidR="009E1C09">
        <w:t>de</w:t>
      </w:r>
      <w:r w:rsidR="000A0DED">
        <w:t>st</w:t>
      </w:r>
      <w:r w:rsidR="009E1C09">
        <w:t xml:space="preserve">a </w:t>
      </w:r>
      <w:r w:rsidR="000A0DED">
        <w:t xml:space="preserve"> o</w:t>
      </w:r>
      <w:r w:rsidR="009E1C09">
        <w:t>rganização</w:t>
      </w:r>
      <w:proofErr w:type="gramEnd"/>
      <w:r w:rsidR="000A0DED">
        <w:t xml:space="preserve"> simétric</w:t>
      </w:r>
      <w:r w:rsidR="009E1C09">
        <w:t>a</w:t>
      </w:r>
      <w:r w:rsidR="000A0DED">
        <w:t xml:space="preserve"> da estrutura</w:t>
      </w:r>
      <w:r w:rsidR="009E1C09">
        <w:t xml:space="preserve"> social são, entre outros: homem/mulher, ricos/pobres, verão/inverno,</w:t>
      </w:r>
      <w:r w:rsidR="00536C4A">
        <w:t xml:space="preserve"> esquerda/direita, vermelho/preto, forte/fraco, antigo/novo.</w:t>
      </w:r>
      <w:r w:rsidR="00526259">
        <w:t xml:space="preserve"> Isto é a Dualidade Sexual, fruto da Dualidade Cultural (GERALDO)</w:t>
      </w:r>
    </w:p>
    <w:p w:rsidR="00A3596A" w:rsidRDefault="00536C4A" w:rsidP="00E95FDE">
      <w:pPr>
        <w:jc w:val="both"/>
      </w:pPr>
      <w:r>
        <w:t xml:space="preserve"> Esta dicotomia simétrica</w:t>
      </w:r>
      <w:r w:rsidR="00BB0AFA">
        <w:t>,</w:t>
      </w:r>
      <w:r>
        <w:t xml:space="preserve"> estende-se também, a grupos sociais</w:t>
      </w:r>
      <w:r w:rsidR="00BB0AFA">
        <w:t xml:space="preserve">, a aspetos do mundo físico, ou a aspetos do mundo metafísico ou moral, isto é, podem assumir uma estrutura </w:t>
      </w:r>
      <w:proofErr w:type="gramStart"/>
      <w:r w:rsidR="00BB0AFA">
        <w:t>diametral ,</w:t>
      </w:r>
      <w:proofErr w:type="gramEnd"/>
      <w:r w:rsidR="00BB0AFA">
        <w:t xml:space="preserve"> repartida nos seus opostos, que no sistema de interação entre os polos</w:t>
      </w:r>
      <w:r w:rsidR="00F250D1">
        <w:t>, pode organizar-se numa estrutura concêntrica (LÉVI-STRAUSS, 1963: 135).</w:t>
      </w:r>
      <w:r w:rsidR="00E95FDE">
        <w:t xml:space="preserve"> </w:t>
      </w:r>
      <w:r w:rsidR="00F250D1">
        <w:t xml:space="preserve">Construída entre anéis concêntricos, hierarquicamente do central para o periférico, ou </w:t>
      </w:r>
      <w:r w:rsidR="00E95FDE">
        <w:t xml:space="preserve">vice-versa, </w:t>
      </w:r>
      <w:r w:rsidR="009D723B">
        <w:t xml:space="preserve">há </w:t>
      </w:r>
      <w:r w:rsidR="00E95FDE">
        <w:t xml:space="preserve">opostos </w:t>
      </w:r>
      <w:r w:rsidR="009D723B">
        <w:t xml:space="preserve">que podem </w:t>
      </w:r>
      <w:r w:rsidR="00E95FDE">
        <w:t>permit</w:t>
      </w:r>
      <w:r w:rsidR="009D723B">
        <w:t>ir</w:t>
      </w:r>
      <w:r w:rsidR="00E95FDE">
        <w:t xml:space="preserve"> outros anéis, no seu meio</w:t>
      </w:r>
      <w:r w:rsidR="009D723B">
        <w:t>, dependendo da ótica em que nos situarmos (e</w:t>
      </w:r>
      <w:r w:rsidR="00526259">
        <w:t>.g.</w:t>
      </w:r>
      <w:r w:rsidR="009D723B">
        <w:t xml:space="preserve"> água/ terra/ céu)</w:t>
      </w:r>
    </w:p>
    <w:p w:rsidR="00A3596A" w:rsidRDefault="009D723B" w:rsidP="00133D09">
      <w:pPr>
        <w:jc w:val="both"/>
      </w:pPr>
      <w:proofErr w:type="gramStart"/>
      <w:r>
        <w:t xml:space="preserve">Atualmente </w:t>
      </w:r>
      <w:r w:rsidR="00133D09">
        <w:t>,</w:t>
      </w:r>
      <w:proofErr w:type="gramEnd"/>
      <w:r w:rsidR="00133D09">
        <w:t xml:space="preserve"> pretende-se ultrapassar o sistema de oposição entre as metades, ou seja, abranger outras tendências sexuais, algures entre o sexo biológico e o papel  social desempenhado por eles. Outras tendências sexuais podem permutar-se entre si (emancipação das mulheres),</w:t>
      </w:r>
      <w:r w:rsidR="003B2F9F">
        <w:t xml:space="preserve"> ou mesmo expressar a antítese das metades (LÉVI-STRAUSS, 1963</w:t>
      </w:r>
      <w:r w:rsidR="00526259">
        <w:t>:</w:t>
      </w:r>
      <w:r w:rsidR="003B2F9F">
        <w:t xml:space="preserve"> 153), em termos de papéis unissexo, ou seja, alternadamente entre eles.</w:t>
      </w:r>
    </w:p>
    <w:p w:rsidR="00A3596A" w:rsidRDefault="00A3596A"/>
    <w:p w:rsidR="00A3596A" w:rsidRDefault="00A3596A"/>
    <w:p w:rsidR="00D44952" w:rsidRDefault="00D44952"/>
    <w:p w:rsidR="00A3596A" w:rsidRDefault="00500610">
      <w:r>
        <w:lastRenderedPageBreak/>
        <w:t>1.3.</w:t>
      </w:r>
      <w:proofErr w:type="gramStart"/>
      <w:r>
        <w:t xml:space="preserve">3  </w:t>
      </w:r>
      <w:r w:rsidRPr="00783CB6">
        <w:rPr>
          <w:caps/>
        </w:rPr>
        <w:t>Organização</w:t>
      </w:r>
      <w:proofErr w:type="gramEnd"/>
      <w:r w:rsidRPr="00783CB6">
        <w:rPr>
          <w:caps/>
        </w:rPr>
        <w:t xml:space="preserve"> Mundial de Saúde </w:t>
      </w:r>
      <w:r>
        <w:t>(O</w:t>
      </w:r>
      <w:r w:rsidR="00783CB6">
        <w:t>MS</w:t>
      </w:r>
      <w:r>
        <w:t xml:space="preserve">) </w:t>
      </w:r>
      <w:r w:rsidR="00783CB6">
        <w:t>e difusão do HIV/SIDA</w:t>
      </w:r>
    </w:p>
    <w:p w:rsidR="00F159F5" w:rsidRDefault="00F159F5"/>
    <w:p w:rsidR="00F159F5" w:rsidRPr="00C30574" w:rsidRDefault="00F159F5" w:rsidP="00F159F5">
      <w:pPr>
        <w:jc w:val="both"/>
        <w:rPr>
          <w:lang w:val="en-US"/>
        </w:rPr>
      </w:pPr>
      <w:proofErr w:type="spellStart"/>
      <w:r w:rsidRPr="00C30574">
        <w:rPr>
          <w:lang w:val="en-US"/>
        </w:rPr>
        <w:t>Diz-nos</w:t>
      </w:r>
      <w:proofErr w:type="spellEnd"/>
      <w:r w:rsidRPr="00C30574">
        <w:rPr>
          <w:lang w:val="en-US"/>
        </w:rPr>
        <w:t xml:space="preserve"> </w:t>
      </w:r>
      <w:proofErr w:type="gramStart"/>
      <w:r w:rsidRPr="00C30574">
        <w:rPr>
          <w:lang w:val="en-US"/>
        </w:rPr>
        <w:t>a</w:t>
      </w:r>
      <w:proofErr w:type="gramEnd"/>
      <w:r w:rsidRPr="00C30574">
        <w:rPr>
          <w:lang w:val="en-US"/>
        </w:rPr>
        <w:t xml:space="preserve"> OMS </w:t>
      </w:r>
      <w:proofErr w:type="spellStart"/>
      <w:r w:rsidRPr="00C30574">
        <w:rPr>
          <w:lang w:val="en-US"/>
        </w:rPr>
        <w:t>que</w:t>
      </w:r>
      <w:proofErr w:type="spellEnd"/>
      <w:r w:rsidRPr="00C30574">
        <w:rPr>
          <w:lang w:val="en-US"/>
        </w:rPr>
        <w:t>, «T</w:t>
      </w:r>
      <w:r w:rsidR="00C30574" w:rsidRPr="00C30574">
        <w:rPr>
          <w:lang w:val="en-US"/>
        </w:rPr>
        <w:t>he sexual and economic subordination of women fuels the HIV/AIDS pandemic», WHO, 199_:5.</w:t>
      </w:r>
    </w:p>
    <w:p w:rsidR="00C30574" w:rsidRDefault="00C30574" w:rsidP="00F159F5">
      <w:pPr>
        <w:jc w:val="both"/>
        <w:rPr>
          <w:lang w:val="en-US"/>
        </w:rPr>
      </w:pPr>
      <w:proofErr w:type="spellStart"/>
      <w:proofErr w:type="gramStart"/>
      <w:r w:rsidRPr="00C30574">
        <w:rPr>
          <w:lang w:val="en-US"/>
        </w:rPr>
        <w:t>Especifica</w:t>
      </w:r>
      <w:proofErr w:type="spellEnd"/>
      <w:r w:rsidRPr="00C30574">
        <w:rPr>
          <w:lang w:val="en-US"/>
        </w:rPr>
        <w:t xml:space="preserve">  o</w:t>
      </w:r>
      <w:proofErr w:type="gramEnd"/>
      <w:r w:rsidRPr="00C30574">
        <w:rPr>
          <w:lang w:val="en-US"/>
        </w:rPr>
        <w:t xml:space="preserve"> </w:t>
      </w:r>
      <w:proofErr w:type="spellStart"/>
      <w:r w:rsidRPr="00C30574">
        <w:rPr>
          <w:lang w:val="en-US"/>
        </w:rPr>
        <w:t>mesmo</w:t>
      </w:r>
      <w:proofErr w:type="spellEnd"/>
      <w:r w:rsidRPr="00C30574">
        <w:rPr>
          <w:lang w:val="en-US"/>
        </w:rPr>
        <w:t xml:space="preserve"> </w:t>
      </w:r>
      <w:proofErr w:type="spellStart"/>
      <w:r w:rsidRPr="00C30574">
        <w:rPr>
          <w:lang w:val="en-US"/>
        </w:rPr>
        <w:t>autor</w:t>
      </w:r>
      <w:proofErr w:type="spellEnd"/>
      <w:r w:rsidRPr="00C30574">
        <w:rPr>
          <w:lang w:val="en-US"/>
        </w:rPr>
        <w:t xml:space="preserve">, </w:t>
      </w:r>
      <w:proofErr w:type="spellStart"/>
      <w:r w:rsidRPr="00C30574">
        <w:rPr>
          <w:lang w:val="en-US"/>
        </w:rPr>
        <w:t>na</w:t>
      </w:r>
      <w:proofErr w:type="spellEnd"/>
      <w:r w:rsidRPr="00C30574">
        <w:rPr>
          <w:lang w:val="en-US"/>
        </w:rPr>
        <w:t xml:space="preserve"> </w:t>
      </w:r>
      <w:proofErr w:type="spellStart"/>
      <w:r w:rsidRPr="00C30574">
        <w:rPr>
          <w:lang w:val="en-US"/>
        </w:rPr>
        <w:t>pág</w:t>
      </w:r>
      <w:proofErr w:type="spellEnd"/>
      <w:r w:rsidRPr="00C30574">
        <w:rPr>
          <w:lang w:val="en-US"/>
        </w:rPr>
        <w:t xml:space="preserve">. </w:t>
      </w:r>
      <w:proofErr w:type="gramStart"/>
      <w:r w:rsidRPr="00C30574">
        <w:rPr>
          <w:lang w:val="en-US"/>
        </w:rPr>
        <w:t xml:space="preserve">17, </w:t>
      </w:r>
      <w:proofErr w:type="spellStart"/>
      <w:r w:rsidRPr="00C30574">
        <w:rPr>
          <w:lang w:val="en-US"/>
        </w:rPr>
        <w:t>que</w:t>
      </w:r>
      <w:proofErr w:type="spellEnd"/>
      <w:r w:rsidRPr="00C30574">
        <w:rPr>
          <w:lang w:val="en-US"/>
        </w:rPr>
        <w:t xml:space="preserve"> «The inequality between men and wo</w:t>
      </w:r>
      <w:r>
        <w:rPr>
          <w:lang w:val="en-US"/>
        </w:rPr>
        <w:t>men fuels the spread of HIV/AIDS</w:t>
      </w:r>
      <w:r w:rsidR="00E97659">
        <w:rPr>
          <w:lang w:val="en-US"/>
        </w:rPr>
        <w:t>».</w:t>
      </w:r>
      <w:proofErr w:type="gramEnd"/>
    </w:p>
    <w:p w:rsidR="00E97659" w:rsidRDefault="00E97659" w:rsidP="00F159F5">
      <w:pPr>
        <w:jc w:val="both"/>
      </w:pPr>
      <w:r w:rsidRPr="00E97659">
        <w:t xml:space="preserve">Estas afirmações da Organização têm </w:t>
      </w:r>
      <w:r>
        <w:t>influenciado outros autores, como HUMAN SCIENCES RESEARCH COUNCIL, 2004: 65, que diz que «</w:t>
      </w:r>
      <w:proofErr w:type="spellStart"/>
      <w:r>
        <w:t>Gender</w:t>
      </w:r>
      <w:proofErr w:type="spellEnd"/>
      <w:r>
        <w:t xml:space="preserve"> </w:t>
      </w:r>
      <w:proofErr w:type="spellStart"/>
      <w:r>
        <w:t>inequality</w:t>
      </w:r>
      <w:proofErr w:type="spellEnd"/>
      <w:r>
        <w:t xml:space="preserve"> </w:t>
      </w:r>
      <w:proofErr w:type="spellStart"/>
      <w:r>
        <w:t>is</w:t>
      </w:r>
      <w:proofErr w:type="spellEnd"/>
      <w:r>
        <w:t xml:space="preserve"> a major </w:t>
      </w:r>
      <w:proofErr w:type="spellStart"/>
      <w:r>
        <w:t>problem</w:t>
      </w:r>
      <w:proofErr w:type="spellEnd"/>
      <w:r>
        <w:t xml:space="preserve"> </w:t>
      </w:r>
      <w:proofErr w:type="spellStart"/>
      <w:r>
        <w:t>and</w:t>
      </w:r>
      <w:proofErr w:type="spellEnd"/>
      <w:r>
        <w:t xml:space="preserve"> </w:t>
      </w:r>
      <w:proofErr w:type="spellStart"/>
      <w:proofErr w:type="gramStart"/>
      <w:r>
        <w:t>fuels</w:t>
      </w:r>
      <w:proofErr w:type="spellEnd"/>
      <w:proofErr w:type="gramEnd"/>
      <w:r>
        <w:t xml:space="preserve"> </w:t>
      </w:r>
      <w:proofErr w:type="spellStart"/>
      <w:r>
        <w:t>the</w:t>
      </w:r>
      <w:proofErr w:type="spellEnd"/>
      <w:r>
        <w:t xml:space="preserve"> </w:t>
      </w:r>
      <w:proofErr w:type="spellStart"/>
      <w:r>
        <w:t>epidemic</w:t>
      </w:r>
      <w:proofErr w:type="spellEnd"/>
      <w:r>
        <w:t>»</w:t>
      </w:r>
    </w:p>
    <w:p w:rsidR="00D33F62" w:rsidRDefault="00E97659" w:rsidP="00F159F5">
      <w:pPr>
        <w:jc w:val="both"/>
      </w:pPr>
      <w:r>
        <w:t>Posto o problema</w:t>
      </w:r>
      <w:r w:rsidR="003214A4">
        <w:t xml:space="preserve"> desta forma, podemos aceitar que a subordinação sexual e económica </w:t>
      </w:r>
      <w:proofErr w:type="gramStart"/>
      <w:r w:rsidR="003214A4">
        <w:t xml:space="preserve">da </w:t>
      </w:r>
      <w:r>
        <w:t xml:space="preserve"> </w:t>
      </w:r>
      <w:r w:rsidR="003214A4">
        <w:t>mulher</w:t>
      </w:r>
      <w:proofErr w:type="gramEnd"/>
      <w:r w:rsidR="003214A4">
        <w:t>, alimenta a pandemia do</w:t>
      </w:r>
      <w:r w:rsidR="001D4479">
        <w:t xml:space="preserve"> HIV/SIDA. Não só por depender economicamente do seu marido/ parceiro sexual para sobreviver e alimentar a </w:t>
      </w:r>
      <w:proofErr w:type="gramStart"/>
      <w:r w:rsidR="001D4479">
        <w:t>família  como</w:t>
      </w:r>
      <w:proofErr w:type="gramEnd"/>
      <w:r w:rsidR="001D4479">
        <w:t>, não estando empregada, ser levada a recorrer ao comércio de sexo, ou a casamento com um homem muito mais velho que ela,</w:t>
      </w:r>
      <w:r w:rsidR="00D33F62">
        <w:t xml:space="preserve"> como forma de ter dinheiro para possuir luxos como roupas, carro e casa, tornando-se assim mais exposta a contrair o vírus.</w:t>
      </w:r>
    </w:p>
    <w:p w:rsidR="00D33F62" w:rsidRDefault="00D33F62" w:rsidP="00F159F5">
      <w:pPr>
        <w:jc w:val="both"/>
      </w:pPr>
      <w:r>
        <w:t>Portanto, a desigualdade entre o homem e a mulher, quando esta</w:t>
      </w:r>
      <w:r w:rsidR="00E8090B">
        <w:t xml:space="preserve"> enfrenta um estatuto desde menina a mulher, que a educa social e antropologicamente desigual, ao parceiro homem</w:t>
      </w:r>
      <w:r w:rsidR="008C7594">
        <w:t>: tem menos direitos cívicos perante a lei, e submissa ao homem, menos poder negocial, nomeadamente no uso do preservativo.</w:t>
      </w:r>
    </w:p>
    <w:p w:rsidR="008C7594" w:rsidRDefault="008C7594" w:rsidP="00F159F5">
      <w:pPr>
        <w:jc w:val="both"/>
      </w:pPr>
      <w:r>
        <w:t xml:space="preserve">Aumentar a sua </w:t>
      </w:r>
      <w:proofErr w:type="spellStart"/>
      <w:r>
        <w:t>auto-confiança</w:t>
      </w:r>
      <w:proofErr w:type="spellEnd"/>
      <w:r>
        <w:t xml:space="preserve"> e acesso a cuidados de saúde, são formas de combater</w:t>
      </w:r>
      <w:r w:rsidR="007D3450">
        <w:t xml:space="preserve"> a difusão do </w:t>
      </w:r>
      <w:proofErr w:type="gramStart"/>
      <w:r w:rsidR="007D3450">
        <w:t>HIV</w:t>
      </w:r>
      <w:proofErr w:type="gramEnd"/>
      <w:r w:rsidR="007D3450">
        <w:t>/SIDA.</w:t>
      </w:r>
    </w:p>
    <w:p w:rsidR="005A6154" w:rsidRDefault="005A6154" w:rsidP="005A6154">
      <w:pPr>
        <w:jc w:val="both"/>
      </w:pPr>
    </w:p>
    <w:p w:rsidR="005A6154" w:rsidRDefault="005A6154" w:rsidP="005A6154">
      <w:pPr>
        <w:jc w:val="both"/>
      </w:pPr>
    </w:p>
    <w:p w:rsidR="005A6154" w:rsidRDefault="005A6154" w:rsidP="005A6154">
      <w:pPr>
        <w:jc w:val="both"/>
      </w:pPr>
      <w:r>
        <w:t>1.4  IDEIA PRINCIPAL</w:t>
      </w:r>
    </w:p>
    <w:p w:rsidR="005A6154" w:rsidRPr="00FD0BB8" w:rsidRDefault="005A6154" w:rsidP="005A6154">
      <w:pPr>
        <w:jc w:val="both"/>
      </w:pPr>
      <w:r w:rsidRPr="00FD0BB8">
        <w:t xml:space="preserve">No contexto apresentado, em que se retratam as particularidades de Moçambique, designadamente a geografia física e humana, a história política recente, as singularidades regionais ao nível sociodemográfico, as práticas culturais em relação à saúde e à sexualidade, assim como o dualismo sexual na divisão de papéis, importa realizar uma análise sociológica dos fatores que contribuem para a incidência, prevalência e difusão do </w:t>
      </w:r>
      <w:proofErr w:type="gramStart"/>
      <w:r w:rsidRPr="00FD0BB8">
        <w:t>HIV</w:t>
      </w:r>
      <w:proofErr w:type="gramEnd"/>
      <w:r w:rsidRPr="00FD0BB8">
        <w:t xml:space="preserve">/SIDA. Esta reflexão poderá dar uma nova visão da problemática, contribuindo para a definição de ações eficazes dirigidas à prevenção </w:t>
      </w:r>
      <w:r>
        <w:t>e diminuição da difusão do vírus e da doença em Moçambique.</w:t>
      </w:r>
    </w:p>
    <w:p w:rsidR="00A3596A" w:rsidRDefault="00A3596A"/>
    <w:p w:rsidR="00D44952" w:rsidRDefault="00D44952"/>
    <w:p w:rsidR="00D44952" w:rsidRDefault="00D44952"/>
    <w:p w:rsidR="000831A5" w:rsidRPr="00E97659" w:rsidRDefault="000831A5"/>
    <w:sectPr w:rsidR="000831A5" w:rsidRPr="00E97659" w:rsidSect="00D0136D">
      <w:footerReference w:type="default" r:id="rId6"/>
      <w:pgSz w:w="11906" w:h="16838"/>
      <w:pgMar w:top="1417" w:right="1701" w:bottom="1417" w:left="1701" w:header="708" w:footer="708" w:gutter="0"/>
      <w:pgNumType w:start="3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9D1" w:rsidRDefault="00A349D1" w:rsidP="00C20302">
      <w:pPr>
        <w:spacing w:after="0" w:line="240" w:lineRule="auto"/>
      </w:pPr>
      <w:r>
        <w:separator/>
      </w:r>
    </w:p>
  </w:endnote>
  <w:endnote w:type="continuationSeparator" w:id="0">
    <w:p w:rsidR="00A349D1" w:rsidRDefault="00A349D1" w:rsidP="00C203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19659"/>
      <w:docPartObj>
        <w:docPartGallery w:val="Page Numbers (Bottom of Page)"/>
        <w:docPartUnique/>
      </w:docPartObj>
    </w:sdtPr>
    <w:sdtContent>
      <w:p w:rsidR="00D0136D" w:rsidRDefault="00A025DC">
        <w:pPr>
          <w:pStyle w:val="Rodap"/>
          <w:jc w:val="right"/>
        </w:pPr>
        <w:fldSimple w:instr=" PAGE   \* MERGEFORMAT ">
          <w:r w:rsidR="004141AA">
            <w:rPr>
              <w:noProof/>
            </w:rPr>
            <w:t>34</w:t>
          </w:r>
        </w:fldSimple>
      </w:p>
    </w:sdtContent>
  </w:sdt>
  <w:p w:rsidR="00C20302" w:rsidRDefault="00C2030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9D1" w:rsidRDefault="00A349D1" w:rsidP="00C20302">
      <w:pPr>
        <w:spacing w:after="0" w:line="240" w:lineRule="auto"/>
      </w:pPr>
      <w:r>
        <w:separator/>
      </w:r>
    </w:p>
  </w:footnote>
  <w:footnote w:type="continuationSeparator" w:id="0">
    <w:p w:rsidR="00A349D1" w:rsidRDefault="00A349D1" w:rsidP="00C2030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E1867"/>
    <w:rsid w:val="00027226"/>
    <w:rsid w:val="00052BE6"/>
    <w:rsid w:val="00075A6A"/>
    <w:rsid w:val="000831A5"/>
    <w:rsid w:val="00093EE9"/>
    <w:rsid w:val="000A0DED"/>
    <w:rsid w:val="000B6AB7"/>
    <w:rsid w:val="000E7EB5"/>
    <w:rsid w:val="00133D09"/>
    <w:rsid w:val="00155D3E"/>
    <w:rsid w:val="001C681E"/>
    <w:rsid w:val="001D4479"/>
    <w:rsid w:val="001E79A8"/>
    <w:rsid w:val="002118CF"/>
    <w:rsid w:val="002351C4"/>
    <w:rsid w:val="002848DE"/>
    <w:rsid w:val="002B4BDA"/>
    <w:rsid w:val="002C3ACC"/>
    <w:rsid w:val="00320764"/>
    <w:rsid w:val="003214A4"/>
    <w:rsid w:val="00326F5B"/>
    <w:rsid w:val="0034521E"/>
    <w:rsid w:val="00366ABC"/>
    <w:rsid w:val="00380657"/>
    <w:rsid w:val="003A0C85"/>
    <w:rsid w:val="003B2F9F"/>
    <w:rsid w:val="003E15CF"/>
    <w:rsid w:val="003E1867"/>
    <w:rsid w:val="003F4B81"/>
    <w:rsid w:val="00404213"/>
    <w:rsid w:val="00411CAC"/>
    <w:rsid w:val="004141AA"/>
    <w:rsid w:val="004142CF"/>
    <w:rsid w:val="004811F7"/>
    <w:rsid w:val="004911A5"/>
    <w:rsid w:val="004B521B"/>
    <w:rsid w:val="004D06E3"/>
    <w:rsid w:val="004F350B"/>
    <w:rsid w:val="004F3F01"/>
    <w:rsid w:val="004F5371"/>
    <w:rsid w:val="00500610"/>
    <w:rsid w:val="0051717D"/>
    <w:rsid w:val="00522FFE"/>
    <w:rsid w:val="00526259"/>
    <w:rsid w:val="00533DAC"/>
    <w:rsid w:val="00536C4A"/>
    <w:rsid w:val="005A6154"/>
    <w:rsid w:val="005D3739"/>
    <w:rsid w:val="005E5785"/>
    <w:rsid w:val="005F73EA"/>
    <w:rsid w:val="00681FDA"/>
    <w:rsid w:val="006C59A7"/>
    <w:rsid w:val="006F0D34"/>
    <w:rsid w:val="007072E4"/>
    <w:rsid w:val="00723B09"/>
    <w:rsid w:val="00783CB6"/>
    <w:rsid w:val="007952B6"/>
    <w:rsid w:val="007D3450"/>
    <w:rsid w:val="007D74EE"/>
    <w:rsid w:val="007F1A91"/>
    <w:rsid w:val="007F591E"/>
    <w:rsid w:val="00854253"/>
    <w:rsid w:val="008A0DF6"/>
    <w:rsid w:val="008B3743"/>
    <w:rsid w:val="008C240F"/>
    <w:rsid w:val="008C7594"/>
    <w:rsid w:val="009012CE"/>
    <w:rsid w:val="009313BB"/>
    <w:rsid w:val="00931609"/>
    <w:rsid w:val="00932EC1"/>
    <w:rsid w:val="00953A8E"/>
    <w:rsid w:val="00955011"/>
    <w:rsid w:val="00987C03"/>
    <w:rsid w:val="009B23D1"/>
    <w:rsid w:val="009D723B"/>
    <w:rsid w:val="009E1C09"/>
    <w:rsid w:val="00A025DC"/>
    <w:rsid w:val="00A349D1"/>
    <w:rsid w:val="00A3596A"/>
    <w:rsid w:val="00A830A6"/>
    <w:rsid w:val="00AA0A3D"/>
    <w:rsid w:val="00AB17EB"/>
    <w:rsid w:val="00AD1CDA"/>
    <w:rsid w:val="00AD3C9F"/>
    <w:rsid w:val="00AF457E"/>
    <w:rsid w:val="00B867B5"/>
    <w:rsid w:val="00B913A8"/>
    <w:rsid w:val="00BB0AFA"/>
    <w:rsid w:val="00BD588D"/>
    <w:rsid w:val="00C20302"/>
    <w:rsid w:val="00C212AB"/>
    <w:rsid w:val="00C30574"/>
    <w:rsid w:val="00C3086F"/>
    <w:rsid w:val="00C3185D"/>
    <w:rsid w:val="00C31AF3"/>
    <w:rsid w:val="00CA2920"/>
    <w:rsid w:val="00CC7F73"/>
    <w:rsid w:val="00CF4606"/>
    <w:rsid w:val="00D0136D"/>
    <w:rsid w:val="00D147D5"/>
    <w:rsid w:val="00D250B3"/>
    <w:rsid w:val="00D33F62"/>
    <w:rsid w:val="00D44952"/>
    <w:rsid w:val="00D61A50"/>
    <w:rsid w:val="00D776CA"/>
    <w:rsid w:val="00DE2305"/>
    <w:rsid w:val="00E17FF1"/>
    <w:rsid w:val="00E8090B"/>
    <w:rsid w:val="00E95FDE"/>
    <w:rsid w:val="00E96063"/>
    <w:rsid w:val="00E97659"/>
    <w:rsid w:val="00EA2DBE"/>
    <w:rsid w:val="00EC7D1E"/>
    <w:rsid w:val="00EF39A1"/>
    <w:rsid w:val="00F0704D"/>
    <w:rsid w:val="00F159F5"/>
    <w:rsid w:val="00F22DD2"/>
    <w:rsid w:val="00F250D1"/>
    <w:rsid w:val="00F30F31"/>
    <w:rsid w:val="00F7595D"/>
    <w:rsid w:val="00F82C16"/>
    <w:rsid w:val="00FB2538"/>
    <w:rsid w:val="00FC198B"/>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867"/>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semiHidden/>
    <w:unhideWhenUsed/>
    <w:rsid w:val="00C20302"/>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C20302"/>
  </w:style>
  <w:style w:type="paragraph" w:styleId="Rodap">
    <w:name w:val="footer"/>
    <w:basedOn w:val="Normal"/>
    <w:link w:val="RodapCarcter"/>
    <w:uiPriority w:val="99"/>
    <w:unhideWhenUsed/>
    <w:rsid w:val="00C20302"/>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C203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768</TotalTime>
  <Pages>4</Pages>
  <Words>1687</Words>
  <Characters>9110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Natividade</dc:creator>
  <cp:lastModifiedBy>Natividade</cp:lastModifiedBy>
  <cp:revision>36</cp:revision>
  <cp:lastPrinted>2012-04-03T16:32:00Z</cp:lastPrinted>
  <dcterms:created xsi:type="dcterms:W3CDTF">2012-03-21T15:24:00Z</dcterms:created>
  <dcterms:modified xsi:type="dcterms:W3CDTF">2013-02-14T21:02:00Z</dcterms:modified>
</cp:coreProperties>
</file>