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4E7" w:rsidRDefault="00E95DF9">
      <w:r>
        <w:t>ANEXO 1: IDENTIDADES E REPRESENTAÇÕES SOCIAIS: UMA FORMA DE CONHECIMENTO.</w:t>
      </w:r>
    </w:p>
    <w:p w:rsidR="00E95DF9" w:rsidRDefault="00223219" w:rsidP="00223219">
      <w:pPr>
        <w:tabs>
          <w:tab w:val="left" w:pos="5140"/>
        </w:tabs>
      </w:pPr>
      <w:r>
        <w:tab/>
      </w:r>
    </w:p>
    <w:p w:rsidR="00E95DF9" w:rsidRDefault="00E95DF9" w:rsidP="001F5FD0">
      <w:pPr>
        <w:jc w:val="both"/>
      </w:pPr>
      <w:r>
        <w:t>A abordagem Psicossocial em que o estudo «</w:t>
      </w:r>
      <w:r w:rsidR="0038343E">
        <w:t>Expressão do HIV/</w:t>
      </w:r>
      <w:r>
        <w:t xml:space="preserve">SIDA </w:t>
      </w:r>
      <w:r w:rsidR="0038343E">
        <w:t>no</w:t>
      </w:r>
      <w:r>
        <w:t xml:space="preserve"> Moçambique</w:t>
      </w:r>
      <w:r w:rsidR="0038343E">
        <w:t xml:space="preserve"> da África Austral</w:t>
      </w:r>
      <w:r>
        <w:t xml:space="preserve">» se inscreve, pede um pequeno esclarecimento </w:t>
      </w:r>
      <w:proofErr w:type="spellStart"/>
      <w:r>
        <w:t>teórico-didáctico</w:t>
      </w:r>
      <w:proofErr w:type="spellEnd"/>
      <w:r>
        <w:t xml:space="preserve"> da teoria das </w:t>
      </w:r>
      <w:r w:rsidR="0038343E">
        <w:t>I</w:t>
      </w:r>
      <w:r>
        <w:t xml:space="preserve">dentidades e </w:t>
      </w:r>
      <w:r w:rsidR="0038343E">
        <w:t>R</w:t>
      </w:r>
      <w:r>
        <w:t xml:space="preserve">epresentação </w:t>
      </w:r>
      <w:r w:rsidR="0038343E">
        <w:t>S</w:t>
      </w:r>
      <w:r>
        <w:t xml:space="preserve">ocial. </w:t>
      </w:r>
      <w:proofErr w:type="gramStart"/>
      <w:r w:rsidR="00247BC8">
        <w:t>O  indivíduo</w:t>
      </w:r>
      <w:proofErr w:type="gramEnd"/>
      <w:r w:rsidR="00247BC8">
        <w:t xml:space="preserve"> e o grupo como identidades e o social na sua construção simbólica e interactiva. O simbólico</w:t>
      </w:r>
      <w:r w:rsidR="00712142">
        <w:t xml:space="preserve"> constrói-se entre dois pólos, entre o significado e o significante, no </w:t>
      </w:r>
      <w:proofErr w:type="spellStart"/>
      <w:r w:rsidR="00712142">
        <w:t>intra</w:t>
      </w:r>
      <w:proofErr w:type="spellEnd"/>
      <w:r w:rsidR="00712142">
        <w:t xml:space="preserve"> (espaço dentro do indivíduo ou grupo; o eu e o self; eu próprio), ou então no </w:t>
      </w:r>
      <w:proofErr w:type="spellStart"/>
      <w:r w:rsidR="00712142">
        <w:t>inter</w:t>
      </w:r>
      <w:proofErr w:type="spellEnd"/>
      <w:r w:rsidR="00712142">
        <w:t xml:space="preserve"> (</w:t>
      </w:r>
      <w:r w:rsidR="00EF6882">
        <w:t xml:space="preserve">indivíduos ou </w:t>
      </w:r>
      <w:proofErr w:type="gramStart"/>
      <w:r w:rsidR="00EF6882">
        <w:t xml:space="preserve">grupos </w:t>
      </w:r>
      <w:r w:rsidR="00712142">
        <w:t xml:space="preserve"> entre</w:t>
      </w:r>
      <w:proofErr w:type="gramEnd"/>
      <w:r w:rsidR="00712142">
        <w:t xml:space="preserve"> si</w:t>
      </w:r>
      <w:r w:rsidR="00EF6882">
        <w:t xml:space="preserve"> </w:t>
      </w:r>
      <w:proofErr w:type="spellStart"/>
      <w:r w:rsidR="00EF6882">
        <w:t>–interaccionismo</w:t>
      </w:r>
      <w:proofErr w:type="spellEnd"/>
      <w:r w:rsidR="00EF6882">
        <w:t xml:space="preserve"> simbólico</w:t>
      </w:r>
      <w:r w:rsidR="00712142">
        <w:t>; o alter).</w:t>
      </w:r>
      <w:r w:rsidR="00A770F4">
        <w:t xml:space="preserve"> Trata-se a SIDA como uma doença, cujo risco de contágio se inscreve na Dualidade Social Tradicional (homens/mulheres, ricos/pobres, população urbana/ população rural, heterossexual/</w:t>
      </w:r>
      <w:proofErr w:type="gramStart"/>
      <w:r w:rsidR="00A770F4">
        <w:t>homossexual,  solteiros</w:t>
      </w:r>
      <w:proofErr w:type="gramEnd"/>
      <w:r w:rsidR="00A770F4">
        <w:t xml:space="preserve">/casados). Trata-se pois o indivíduo e o grupo segundo a sua representação social, no plano interno e externo, </w:t>
      </w:r>
      <w:r w:rsidR="008A39EB">
        <w:t xml:space="preserve">tendo como </w:t>
      </w:r>
      <w:proofErr w:type="spellStart"/>
      <w:r w:rsidR="008A39EB">
        <w:t>substracto</w:t>
      </w:r>
      <w:proofErr w:type="spellEnd"/>
      <w:r w:rsidR="008A39EB">
        <w:t xml:space="preserve"> a compreensão do contexto social, que se manifesta em elementos cognitivos tais como imagens, conceitos, categorias, teorias, que por serem interactivas são socialmente elaboradas (simbólicas) e compartilhadas (sociali</w:t>
      </w:r>
      <w:r w:rsidR="0038343E">
        <w:t>z</w:t>
      </w:r>
      <w:r w:rsidR="008A39EB">
        <w:t>adas).</w:t>
      </w:r>
    </w:p>
    <w:p w:rsidR="008A39EB" w:rsidRDefault="008A39EB" w:rsidP="001F5FD0">
      <w:pPr>
        <w:jc w:val="both"/>
      </w:pPr>
      <w:r>
        <w:t>O veículo entre o indivíduo e a sua representação</w:t>
      </w:r>
      <w:r w:rsidR="00C30CA4">
        <w:t xml:space="preserve">, entre o indivíduo e o seu interlocutor, que a dualidade simples vai ter com papéis desiguais e também definidos entre homens e mulheres, que serão mais iguais se </w:t>
      </w:r>
      <w:proofErr w:type="spellStart"/>
      <w:r w:rsidR="00C30CA4">
        <w:t>se</w:t>
      </w:r>
      <w:proofErr w:type="spellEnd"/>
      <w:r w:rsidR="00C30CA4">
        <w:t xml:space="preserve"> puderem trocar ou mesmo fundir, o que acontece em determinados contexto ocidentais. O sentido do saber</w:t>
      </w:r>
      <w:r w:rsidR="00EF6882">
        <w:t xml:space="preserve"> da identida</w:t>
      </w:r>
      <w:r w:rsidR="0038343E">
        <w:t>de e da sua representação influe</w:t>
      </w:r>
      <w:r w:rsidR="00EF6882">
        <w:t>ncia questões sobre lugar, género, raça, história, nacionalidade, orientação sexual, crença religiosa e etnia.</w:t>
      </w:r>
    </w:p>
    <w:p w:rsidR="0034350F" w:rsidRDefault="00451C83" w:rsidP="001F5FD0">
      <w:pPr>
        <w:jc w:val="both"/>
      </w:pPr>
      <w:r>
        <w:t xml:space="preserve">O estudo das Representações são o seu conteúdo e o seu processo de elaboração. Segundo </w:t>
      </w:r>
      <w:r w:rsidR="00FC515F">
        <w:t>FERREIRA: 1995, cit. por SPINK: 1993:302, representação é «o conteúdo concreto apreendido pelos sentidos, pela imaginação, pela memória ou pelo pensamento; é em síntese a representação daquilo que se pensa». As representações são interpretações da realidade</w:t>
      </w:r>
      <w:r w:rsidR="00A5545A">
        <w:t>, ou seja, a relação com o real nunca é directa, é sempre mediada por categorias histórica e subjectivamente constituídas.</w:t>
      </w:r>
    </w:p>
    <w:p w:rsidR="00891DD4" w:rsidRDefault="00A5545A" w:rsidP="001F5FD0">
      <w:pPr>
        <w:jc w:val="both"/>
      </w:pPr>
      <w:r>
        <w:t>Enquanto abordagem Psicossocial destacamos o esforço de superar a dicotomia entre indivíduo e sociedade, e entre psicologismo e sociologismo e que encontramos também no</w:t>
      </w:r>
      <w:r w:rsidR="00585D58">
        <w:t xml:space="preserve"> estudo da Dimensão de Género entre homem/mulher, masculino/feminino. «A Psicologia Social procura superar esta dicotomia visualizando o indivíduo e as suas produções mentais, como produto da sua socialização» (SINK: 1993: 304). </w:t>
      </w:r>
    </w:p>
    <w:p w:rsidR="00A5545A" w:rsidRDefault="00891DD4" w:rsidP="001F5FD0">
      <w:pPr>
        <w:jc w:val="both"/>
      </w:pPr>
      <w:r>
        <w:t xml:space="preserve">O seu conteúdo, para além de interpretação da realidade, pode ser a análise do imaginário social noutras formas da comunicação, para além da oral ou escrita. </w:t>
      </w:r>
      <w:proofErr w:type="gramStart"/>
      <w:r>
        <w:t>O  imaginário</w:t>
      </w:r>
      <w:proofErr w:type="gramEnd"/>
      <w:r>
        <w:t xml:space="preserve"> social definido como «a teia</w:t>
      </w:r>
      <w:r w:rsidR="006D78BF">
        <w:t xml:space="preserve"> de significados tecido pelo homem ao longo da história da espécie» (GEERZ: 1978: 305, cit. por SPINK). Sendo assim é o conjunto das produções culturais, que circulam numa determinada sociedade sob variadas formas: iconografia, literatura, canções, provérbios, mitos.</w:t>
      </w:r>
    </w:p>
    <w:p w:rsidR="006D78BF" w:rsidRDefault="006D78BF" w:rsidP="001F5FD0">
      <w:pPr>
        <w:jc w:val="both"/>
      </w:pPr>
      <w:r>
        <w:t xml:space="preserve">A nível </w:t>
      </w:r>
      <w:proofErr w:type="spellStart"/>
      <w:r>
        <w:t>intra</w:t>
      </w:r>
      <w:proofErr w:type="spellEnd"/>
      <w:r>
        <w:t xml:space="preserve"> e inter-individual (CABECINHAS:2004:129)</w:t>
      </w:r>
      <w:r w:rsidR="004E7735">
        <w:t>, a origem da análise de conteúdo nas formas de comunicação oral e escrita, não deve excluir outros meios de comunicação</w:t>
      </w:r>
      <w:r w:rsidR="000A2CF8">
        <w:t xml:space="preserve">. Isto é, </w:t>
      </w:r>
      <w:proofErr w:type="gramStart"/>
      <w:r w:rsidR="000A2CF8">
        <w:lastRenderedPageBreak/>
        <w:t>parte-se  «do</w:t>
      </w:r>
      <w:proofErr w:type="gramEnd"/>
      <w:r w:rsidR="000A2CF8">
        <w:t xml:space="preserve"> pressuposto que por trás do discurso aparente esconde-se um outro sentido que convém descobrir.» (GODOY:1995, cit. por SILVA </w:t>
      </w:r>
      <w:proofErr w:type="spellStart"/>
      <w:r w:rsidR="000A2CF8">
        <w:t>et</w:t>
      </w:r>
      <w:proofErr w:type="spellEnd"/>
      <w:r w:rsidR="000A2CF8">
        <w:t xml:space="preserve"> </w:t>
      </w:r>
      <w:proofErr w:type="spellStart"/>
      <w:r w:rsidR="000A2CF8">
        <w:t>al</w:t>
      </w:r>
      <w:proofErr w:type="spellEnd"/>
      <w:r w:rsidR="000A2CF8">
        <w:t>: 200</w:t>
      </w:r>
      <w:r w:rsidR="00FE2218">
        <w:t>5</w:t>
      </w:r>
      <w:r w:rsidR="000A2CF8">
        <w:t>:</w:t>
      </w:r>
      <w:r w:rsidR="00012460">
        <w:t>74). Devido aos elevados processos de informação e representação é possível cruzar os indicadores, descobrindo factos ou intenções não claramente declarado</w:t>
      </w:r>
      <w:r w:rsidR="00FE2218">
        <w:t>s</w:t>
      </w:r>
      <w:r w:rsidR="00012460">
        <w:t xml:space="preserve"> (SILVA: 200</w:t>
      </w:r>
      <w:r w:rsidR="00FE2218">
        <w:t>5</w:t>
      </w:r>
      <w:r w:rsidR="00012460">
        <w:t>: 77). Segundo a autora procurou demonstrar, por meio da reprodução fiel das falas dos produtores</w:t>
      </w:r>
      <w:r w:rsidR="00A40355">
        <w:t xml:space="preserve"> [pode-se detectar] a maneira como o produtor compreende o processo decisório. Ainda segundo a autora é sua </w:t>
      </w:r>
      <w:proofErr w:type="gramStart"/>
      <w:r w:rsidR="00A40355">
        <w:t>preocupação  atentar</w:t>
      </w:r>
      <w:proofErr w:type="gramEnd"/>
      <w:r w:rsidR="00A40355">
        <w:t xml:space="preserve">  para rupturas, contradições ou momentos em que o discurso do entrevistado perde sentido, interpretar as metáforas</w:t>
      </w:r>
      <w:r w:rsidR="00013366">
        <w:t xml:space="preserve"> identificadas como uma fonte múltipla de significados, examinar a saliência e as pausas, ou o que ficou subentendido (SILVA: 200</w:t>
      </w:r>
      <w:r w:rsidR="00FE2218">
        <w:t>5</w:t>
      </w:r>
      <w:r w:rsidR="00013366">
        <w:t xml:space="preserve">: 78). Utilizando a técnica de análise de discurso, cabe </w:t>
      </w:r>
      <w:proofErr w:type="gramStart"/>
      <w:r w:rsidR="00013366">
        <w:t>ao  investigador</w:t>
      </w:r>
      <w:proofErr w:type="gramEnd"/>
      <w:r w:rsidR="00013366">
        <w:t xml:space="preserve"> social tentar compreender e revelar as ‘entrelinhas’, nas falas dos actores, uma vez que estes exteriorizam as suas construções acerca de dada realidade (SILVA</w:t>
      </w:r>
      <w:r w:rsidR="00152165">
        <w:t>: 200</w:t>
      </w:r>
      <w:r w:rsidR="00FE2218">
        <w:t>5</w:t>
      </w:r>
      <w:r w:rsidR="00152165">
        <w:t>: 80).</w:t>
      </w:r>
    </w:p>
    <w:p w:rsidR="00152165" w:rsidRDefault="00152165" w:rsidP="001F5FD0">
      <w:pPr>
        <w:jc w:val="both"/>
      </w:pPr>
      <w:r>
        <w:t xml:space="preserve">Enquanto factor estruturante da realidade social, as representações sociais remetem-nos ao estudo não mais como conteúdo, mas como processo para a criação e a manutenção de uma determinada ordem social. Dois principais processos envolvidos na elaboração das representações e postulados por </w:t>
      </w:r>
      <w:r w:rsidR="007A0EE9">
        <w:t>MOSCOVICI: 1961, são a Ancoragem e Objectivação (CABECINHAS: 2004: 128 e SPINK: 1993: 306).</w:t>
      </w:r>
    </w:p>
    <w:p w:rsidR="007A0EE9" w:rsidRDefault="007A0EE9" w:rsidP="001F5FD0">
      <w:pPr>
        <w:jc w:val="both"/>
      </w:pPr>
      <w:r>
        <w:t>ANCORAGEM:</w:t>
      </w:r>
    </w:p>
    <w:p w:rsidR="007A0EE9" w:rsidRDefault="007A0EE9" w:rsidP="001F5FD0">
      <w:pPr>
        <w:jc w:val="both"/>
      </w:pPr>
      <w:r>
        <w:t>-</w:t>
      </w:r>
      <w:r w:rsidR="00922578">
        <w:t>precede a objectivação uma vez que parte das experiências e esquemas já estabelecidos;</w:t>
      </w:r>
    </w:p>
    <w:p w:rsidR="00922578" w:rsidRDefault="00922578" w:rsidP="001F5FD0">
      <w:pPr>
        <w:jc w:val="both"/>
      </w:pPr>
      <w:r>
        <w:t xml:space="preserve">-a ancoragem dá valor à interpretação pelo que tem afinidades com o conceito de </w:t>
      </w:r>
      <w:proofErr w:type="spellStart"/>
      <w:r>
        <w:t>categoriação</w:t>
      </w:r>
      <w:proofErr w:type="spellEnd"/>
      <w:r>
        <w:t>;</w:t>
      </w:r>
    </w:p>
    <w:p w:rsidR="00922578" w:rsidRDefault="00922578" w:rsidP="001F5FD0">
      <w:pPr>
        <w:jc w:val="both"/>
      </w:pPr>
      <w:r>
        <w:t>-é a um tempo um processo de redução do novo ao velho e r</w:t>
      </w:r>
      <w:r w:rsidR="000F2F42">
        <w:t>e</w:t>
      </w:r>
      <w:r>
        <w:t xml:space="preserve">elaboração </w:t>
      </w:r>
      <w:r w:rsidR="000F2F42">
        <w:t>do velho tornando-o novo;</w:t>
      </w:r>
    </w:p>
    <w:p w:rsidR="000F2F42" w:rsidRDefault="000F2F42" w:rsidP="001F5FD0">
      <w:pPr>
        <w:jc w:val="both"/>
      </w:pPr>
      <w:r>
        <w:t>-ancoramos o desconhecido em representações já existentes (CABECINHAS: 2004:</w:t>
      </w:r>
      <w:r w:rsidR="00636534">
        <w:t xml:space="preserve"> 128);</w:t>
      </w:r>
    </w:p>
    <w:p w:rsidR="000F2F42" w:rsidRPr="00152165" w:rsidRDefault="000F2F42" w:rsidP="001F5FD0">
      <w:pPr>
        <w:jc w:val="both"/>
        <w:rPr>
          <w:sz w:val="24"/>
        </w:rPr>
      </w:pPr>
      <w:r>
        <w:t>-a ancoragem é feita na realidade social vivida, não sendo portanto concebida como processo cognitivo intra-individual (SPINK: 1993: 306)</w:t>
      </w:r>
    </w:p>
    <w:p w:rsidR="0034350F" w:rsidRDefault="00235969" w:rsidP="001F5FD0">
      <w:pPr>
        <w:jc w:val="both"/>
      </w:pPr>
      <w:r>
        <w:t>-ancorando no modelo de intersubjectividade e de integração social (XAVIER: 2003: 20)</w:t>
      </w:r>
    </w:p>
    <w:p w:rsidR="00235969" w:rsidRDefault="00235969" w:rsidP="001F5FD0">
      <w:pPr>
        <w:jc w:val="both"/>
      </w:pPr>
    </w:p>
    <w:p w:rsidR="00235969" w:rsidRDefault="00235969" w:rsidP="001F5FD0">
      <w:pPr>
        <w:jc w:val="both"/>
      </w:pPr>
    </w:p>
    <w:p w:rsidR="00636534" w:rsidRDefault="00636534" w:rsidP="001F5FD0">
      <w:pPr>
        <w:jc w:val="both"/>
      </w:pPr>
      <w:r>
        <w:t>OBJECTIVAÇÃO:</w:t>
      </w:r>
    </w:p>
    <w:p w:rsidR="00636534" w:rsidRDefault="00636534" w:rsidP="001F5FD0">
      <w:pPr>
        <w:jc w:val="both"/>
      </w:pPr>
      <w:r>
        <w:t>-fundamenta-se em inúmeras dualidades, pelo que é o retorno simbólico e a inscrição no significante de novos significados (XAVIER: 2003: 28);</w:t>
      </w:r>
    </w:p>
    <w:p w:rsidR="00636534" w:rsidRDefault="00636534" w:rsidP="001F5FD0">
      <w:pPr>
        <w:jc w:val="both"/>
      </w:pPr>
      <w:r>
        <w:t>-</w:t>
      </w:r>
      <w:r w:rsidR="00700DA7">
        <w:t xml:space="preserve">identificamos de uma pertença social a reciprocidade da percepção mútua de si e do outro [é </w:t>
      </w:r>
      <w:proofErr w:type="gramStart"/>
      <w:r w:rsidR="00700DA7">
        <w:t>intra-individual</w:t>
      </w:r>
      <w:proofErr w:type="gramEnd"/>
      <w:r w:rsidR="00700DA7">
        <w:t>]  nas relações sociais;</w:t>
      </w:r>
    </w:p>
    <w:p w:rsidR="0034350F" w:rsidRDefault="00700DA7" w:rsidP="001F5FD0">
      <w:pPr>
        <w:jc w:val="both"/>
      </w:pPr>
      <w:r>
        <w:lastRenderedPageBreak/>
        <w:t>-o espírito é afectado pelos objectos (sensibilização e percepção) que no dizer de K</w:t>
      </w:r>
      <w:r w:rsidR="00363444">
        <w:t>ANT</w:t>
      </w:r>
      <w:r>
        <w:t>: 2008:</w:t>
      </w:r>
      <w:r w:rsidR="00B61AE7">
        <w:t xml:space="preserve"> 89, «sem sensibilidade nenhum objecto nos seria dado, sem o entendimento nenhum seria pensado»;</w:t>
      </w:r>
    </w:p>
    <w:p w:rsidR="00B61AE7" w:rsidRDefault="00B61AE7" w:rsidP="001F5FD0">
      <w:pPr>
        <w:jc w:val="both"/>
      </w:pPr>
      <w:r>
        <w:t>-é essencialmente uma operação formadora de imagens, através do qual (sensibilização e percepção), noções abstractas são transformadas em algo concreto;</w:t>
      </w:r>
    </w:p>
    <w:p w:rsidR="00B61AE7" w:rsidRDefault="00B61AE7" w:rsidP="001F5FD0">
      <w:pPr>
        <w:jc w:val="both"/>
      </w:pPr>
      <w:r>
        <w:t>-é no seu conteúdo interno que assume o carácter</w:t>
      </w:r>
      <w:r w:rsidR="006C17B7">
        <w:t xml:space="preserve"> de uma realidade externa (SPINK: 1993: 306);</w:t>
      </w:r>
    </w:p>
    <w:p w:rsidR="006C17B7" w:rsidRDefault="006C17B7" w:rsidP="001F5FD0">
      <w:pPr>
        <w:jc w:val="both"/>
      </w:pPr>
      <w:r>
        <w:t>-o abstracto torna-se concreto através da sua expressão em imagens e metáforas (CABECINHAS: 2004: 128);</w:t>
      </w:r>
    </w:p>
    <w:p w:rsidR="006C17B7" w:rsidRDefault="006C17B7" w:rsidP="001F5FD0">
      <w:pPr>
        <w:jc w:val="both"/>
      </w:pPr>
      <w:r>
        <w:t>-processo de selecção e descontextualização</w:t>
      </w:r>
      <w:r w:rsidR="002200F6">
        <w:t>.</w:t>
      </w:r>
    </w:p>
    <w:p w:rsidR="00235969" w:rsidRDefault="00235969" w:rsidP="001F5FD0">
      <w:pPr>
        <w:jc w:val="both"/>
      </w:pPr>
      <w:r>
        <w:t>-é formado por imagens e sím</w:t>
      </w:r>
      <w:r w:rsidR="00F322CD">
        <w:t>bolos. Este ‘pensamento natural’ espontâneo é determinado por factores contextuais e sociais (XAVIER: 2003: 23).</w:t>
      </w:r>
    </w:p>
    <w:sectPr w:rsidR="00235969" w:rsidSect="00370CE6">
      <w:footerReference w:type="default" r:id="rId6"/>
      <w:pgSz w:w="11906" w:h="16838"/>
      <w:pgMar w:top="1417" w:right="1701" w:bottom="1417" w:left="1701" w:header="708" w:footer="708" w:gutter="0"/>
      <w:pgNumType w:start="4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DC2" w:rsidRDefault="00804DC2" w:rsidP="00223219">
      <w:pPr>
        <w:spacing w:after="0" w:line="240" w:lineRule="auto"/>
      </w:pPr>
      <w:r>
        <w:separator/>
      </w:r>
    </w:p>
  </w:endnote>
  <w:endnote w:type="continuationSeparator" w:id="1">
    <w:p w:rsidR="00804DC2" w:rsidRDefault="00804DC2" w:rsidP="00223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44095"/>
      <w:docPartObj>
        <w:docPartGallery w:val="Page Numbers (Bottom of Page)"/>
        <w:docPartUnique/>
      </w:docPartObj>
    </w:sdtPr>
    <w:sdtContent>
      <w:p w:rsidR="00370CE6" w:rsidRDefault="00370CE6">
        <w:pPr>
          <w:pStyle w:val="Rodap"/>
          <w:jc w:val="right"/>
        </w:pPr>
        <w:fldSimple w:instr=" PAGE   \* MERGEFORMAT ">
          <w:r>
            <w:rPr>
              <w:noProof/>
            </w:rPr>
            <w:t>51</w:t>
          </w:r>
        </w:fldSimple>
      </w:p>
    </w:sdtContent>
  </w:sdt>
  <w:p w:rsidR="00223219" w:rsidRDefault="0022321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DC2" w:rsidRDefault="00804DC2" w:rsidP="00223219">
      <w:pPr>
        <w:spacing w:after="0" w:line="240" w:lineRule="auto"/>
      </w:pPr>
      <w:r>
        <w:separator/>
      </w:r>
    </w:p>
  </w:footnote>
  <w:footnote w:type="continuationSeparator" w:id="1">
    <w:p w:rsidR="00804DC2" w:rsidRDefault="00804DC2" w:rsidP="002232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5DF9"/>
    <w:rsid w:val="000030BF"/>
    <w:rsid w:val="00012460"/>
    <w:rsid w:val="00013366"/>
    <w:rsid w:val="000A2CF8"/>
    <w:rsid w:val="000F2F42"/>
    <w:rsid w:val="00152165"/>
    <w:rsid w:val="00170ED5"/>
    <w:rsid w:val="001F5FD0"/>
    <w:rsid w:val="001F70EA"/>
    <w:rsid w:val="00211521"/>
    <w:rsid w:val="00211F9C"/>
    <w:rsid w:val="002200F6"/>
    <w:rsid w:val="00223219"/>
    <w:rsid w:val="00235969"/>
    <w:rsid w:val="00247BC8"/>
    <w:rsid w:val="002510EB"/>
    <w:rsid w:val="002730A7"/>
    <w:rsid w:val="002A4E00"/>
    <w:rsid w:val="0034350F"/>
    <w:rsid w:val="00363444"/>
    <w:rsid w:val="00370CE6"/>
    <w:rsid w:val="0038343E"/>
    <w:rsid w:val="003875A4"/>
    <w:rsid w:val="00451C83"/>
    <w:rsid w:val="004E7735"/>
    <w:rsid w:val="00585D58"/>
    <w:rsid w:val="005B791E"/>
    <w:rsid w:val="00603860"/>
    <w:rsid w:val="00636534"/>
    <w:rsid w:val="006C17B7"/>
    <w:rsid w:val="006D78BF"/>
    <w:rsid w:val="00700DA7"/>
    <w:rsid w:val="00712142"/>
    <w:rsid w:val="007A0EE9"/>
    <w:rsid w:val="007D67A5"/>
    <w:rsid w:val="00804DC2"/>
    <w:rsid w:val="00891DD4"/>
    <w:rsid w:val="008A36EF"/>
    <w:rsid w:val="008A39EB"/>
    <w:rsid w:val="008A775C"/>
    <w:rsid w:val="008E3B98"/>
    <w:rsid w:val="00910F7B"/>
    <w:rsid w:val="00922578"/>
    <w:rsid w:val="00942E13"/>
    <w:rsid w:val="009C54E7"/>
    <w:rsid w:val="009E0ADA"/>
    <w:rsid w:val="009F5422"/>
    <w:rsid w:val="00A40355"/>
    <w:rsid w:val="00A40F92"/>
    <w:rsid w:val="00A5545A"/>
    <w:rsid w:val="00A770F4"/>
    <w:rsid w:val="00AE08DB"/>
    <w:rsid w:val="00B61AE7"/>
    <w:rsid w:val="00C30CA4"/>
    <w:rsid w:val="00C86A33"/>
    <w:rsid w:val="00D52E6C"/>
    <w:rsid w:val="00DD7C09"/>
    <w:rsid w:val="00DF3ADC"/>
    <w:rsid w:val="00E67EDD"/>
    <w:rsid w:val="00E95DF9"/>
    <w:rsid w:val="00ED51E4"/>
    <w:rsid w:val="00ED5200"/>
    <w:rsid w:val="00EF6882"/>
    <w:rsid w:val="00F322CD"/>
    <w:rsid w:val="00F61CE2"/>
    <w:rsid w:val="00F83E5E"/>
    <w:rsid w:val="00FA1B21"/>
    <w:rsid w:val="00FC515F"/>
    <w:rsid w:val="00FE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4E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223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223219"/>
  </w:style>
  <w:style w:type="paragraph" w:styleId="Rodap">
    <w:name w:val="footer"/>
    <w:basedOn w:val="Normal"/>
    <w:link w:val="RodapCarcter"/>
    <w:uiPriority w:val="99"/>
    <w:unhideWhenUsed/>
    <w:rsid w:val="00223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232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970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Natividade</dc:creator>
  <cp:lastModifiedBy>CYBERCENTER</cp:lastModifiedBy>
  <cp:revision>17</cp:revision>
  <cp:lastPrinted>2012-08-02T17:04:00Z</cp:lastPrinted>
  <dcterms:created xsi:type="dcterms:W3CDTF">2011-09-18T14:05:00Z</dcterms:created>
  <dcterms:modified xsi:type="dcterms:W3CDTF">2013-02-15T14:39:00Z</dcterms:modified>
</cp:coreProperties>
</file>