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5 cm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vascular</w:t>
      </w:r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(SDVG)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copolymerization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polyvinyl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molecular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dextran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PVA/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mesenchymal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MSCs</w:t>
      </w:r>
      <w:proofErr w:type="spellEnd"/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therapies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anticoagulant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clopidogrel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warfarin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>
        <w:rPr>
          <w:rFonts w:ascii="Times New Roman" w:hAnsi="Times New Roman" w:cs="Times New Roman"/>
          <w:sz w:val="24"/>
          <w:szCs w:val="24"/>
        </w:rPr>
        <w:t>expanded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polyetetrafluoroethylene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ePTFE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(PR),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thrombus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collateral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vessel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ultrasound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color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Doppler.</w:t>
      </w:r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morphologic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proofErr w:type="gram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(SEM),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immunohistochemical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PVA/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similar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diastolic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laminar</w:t>
      </w:r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blood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similar 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ePTFE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grafts</w:t>
      </w:r>
      <w:proofErr w:type="spellEnd"/>
      <w:r>
        <w:rPr>
          <w:rFonts w:ascii="Times New Roman" w:hAnsi="Times New Roman" w:cs="Times New Roman"/>
          <w:sz w:val="24"/>
          <w:szCs w:val="24"/>
        </w:rPr>
        <w:t>. CD14 (</w:t>
      </w:r>
      <w:proofErr w:type="spellStart"/>
      <w:r>
        <w:rPr>
          <w:rFonts w:ascii="Times New Roman" w:hAnsi="Times New Roman" w:cs="Times New Roman"/>
          <w:sz w:val="24"/>
          <w:szCs w:val="24"/>
        </w:rPr>
        <w:t>macrophages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α-</w:t>
      </w:r>
      <w:proofErr w:type="spellStart"/>
      <w:r>
        <w:rPr>
          <w:rFonts w:ascii="Times New Roman" w:hAnsi="Times New Roman" w:cs="Times New Roman"/>
          <w:sz w:val="24"/>
          <w:szCs w:val="24"/>
        </w:rPr>
        <w:t>actin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smooth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similar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iCs/>
          <w:sz w:val="24"/>
          <w:szCs w:val="24"/>
        </w:rPr>
        <w:t>PVA/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MSCs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ePTFE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groups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endothelial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graft-artery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transitions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PVA/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excellent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scaffold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candidate for vascular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mechanically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SDVGs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MSCs-based</w:t>
      </w:r>
      <w:proofErr w:type="spellEnd"/>
    </w:p>
    <w:p w:rsidR="0078623D" w:rsidRDefault="0078623D" w:rsidP="0078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therapies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endothelialization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vascular</w:t>
      </w:r>
    </w:p>
    <w:p w:rsidR="00913F1F" w:rsidRDefault="0078623D" w:rsidP="0078623D"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prosthesis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1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3D"/>
    <w:rsid w:val="004E3166"/>
    <w:rsid w:val="0078623D"/>
    <w:rsid w:val="0091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Alexandre</dc:creator>
  <cp:lastModifiedBy>Nuno Alexandre</cp:lastModifiedBy>
  <cp:revision>1</cp:revision>
  <dcterms:created xsi:type="dcterms:W3CDTF">2017-01-09T15:58:00Z</dcterms:created>
  <dcterms:modified xsi:type="dcterms:W3CDTF">2017-01-09T21:04:00Z</dcterms:modified>
</cp:coreProperties>
</file>