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F1" w:rsidRDefault="005007F1" w:rsidP="005007F1">
      <w:pPr>
        <w:jc w:val="center"/>
        <w:rPr>
          <w:b/>
          <w:lang w:val="en-US"/>
        </w:rPr>
      </w:pPr>
      <w:r w:rsidRPr="00731BCD">
        <w:rPr>
          <w:b/>
          <w:lang w:val="en-US"/>
        </w:rPr>
        <w:t>Preparing English Language Teachers for Today’s Globalized World</w:t>
      </w:r>
    </w:p>
    <w:p w:rsidR="005007F1" w:rsidRPr="00284E63" w:rsidRDefault="0054663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Luis Guerra</w:t>
      </w:r>
    </w:p>
    <w:p w:rsidR="007F1098" w:rsidRPr="007F1098" w:rsidRDefault="007F1098" w:rsidP="007F1098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Chapter </w:t>
      </w:r>
      <w:bookmarkStart w:id="0" w:name="_GoBack"/>
      <w:bookmarkEnd w:id="0"/>
      <w:r w:rsidR="00AD30FD" w:rsidRPr="007F1098">
        <w:rPr>
          <w:rFonts w:cstheme="minorHAnsi"/>
          <w:sz w:val="24"/>
          <w:szCs w:val="24"/>
          <w:lang w:val="en-US"/>
        </w:rPr>
        <w:t>Title:</w:t>
      </w:r>
      <w:r w:rsidR="00AD30FD" w:rsidRPr="007F1098">
        <w:rPr>
          <w:rFonts w:cstheme="minorHAnsi"/>
          <w:i/>
          <w:sz w:val="24"/>
          <w:szCs w:val="24"/>
          <w:lang w:val="en-US"/>
        </w:rPr>
        <w:t xml:space="preserve"> </w:t>
      </w:r>
      <w:r w:rsidRPr="007F1098">
        <w:rPr>
          <w:rFonts w:cstheme="minorHAnsi"/>
          <w:b/>
          <w:sz w:val="24"/>
          <w:szCs w:val="24"/>
          <w:lang w:val="en-US"/>
        </w:rPr>
        <w:t>An ELF-based comparative analysis of teachers’ attitudes, classroom practices and materials in public and private schools in Portugal</w:t>
      </w:r>
    </w:p>
    <w:p w:rsidR="001C5049" w:rsidRPr="007F1098" w:rsidRDefault="001C5049">
      <w:pPr>
        <w:rPr>
          <w:rFonts w:cstheme="minorHAnsi"/>
          <w:i/>
          <w:sz w:val="24"/>
          <w:szCs w:val="24"/>
          <w:lang w:val="en-US"/>
        </w:rPr>
      </w:pPr>
    </w:p>
    <w:p w:rsidR="003B5FEC" w:rsidRPr="00284E63" w:rsidRDefault="003B5FEC">
      <w:pPr>
        <w:rPr>
          <w:sz w:val="24"/>
          <w:szCs w:val="24"/>
          <w:lang w:val="en-US"/>
        </w:rPr>
      </w:pPr>
    </w:p>
    <w:p w:rsidR="003B5FEC" w:rsidRDefault="003D4C16" w:rsidP="005007F1">
      <w:pPr>
        <w:jc w:val="both"/>
        <w:rPr>
          <w:rFonts w:ascii="Calibri" w:hAnsi="Calibri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Although </w:t>
      </w:r>
      <w:r w:rsidR="00546631">
        <w:rPr>
          <w:sz w:val="24"/>
          <w:szCs w:val="24"/>
          <w:lang w:val="en-US"/>
        </w:rPr>
        <w:t xml:space="preserve">a significant amount of </w:t>
      </w:r>
      <w:r w:rsidR="00CD4D7B">
        <w:rPr>
          <w:sz w:val="24"/>
          <w:szCs w:val="24"/>
          <w:lang w:val="en-US"/>
        </w:rPr>
        <w:t>contemporary</w:t>
      </w:r>
      <w:r w:rsidR="00284E6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ELT </w:t>
      </w:r>
      <w:r w:rsidR="00284E63">
        <w:rPr>
          <w:sz w:val="24"/>
          <w:szCs w:val="24"/>
          <w:lang w:val="en-US"/>
        </w:rPr>
        <w:t xml:space="preserve">research </w:t>
      </w:r>
      <w:r>
        <w:rPr>
          <w:sz w:val="24"/>
          <w:szCs w:val="24"/>
          <w:lang w:val="en-US"/>
        </w:rPr>
        <w:t>has increasingly</w:t>
      </w:r>
      <w:r w:rsidR="00546631">
        <w:rPr>
          <w:sz w:val="24"/>
          <w:szCs w:val="24"/>
          <w:lang w:val="en-US"/>
        </w:rPr>
        <w:t xml:space="preserve"> given</w:t>
      </w:r>
      <w:r>
        <w:rPr>
          <w:sz w:val="24"/>
          <w:szCs w:val="24"/>
          <w:lang w:val="en-US"/>
        </w:rPr>
        <w:t xml:space="preserve"> extensive consideration to the international role of English and how it is reflected in teachers’ perceptions and classroom practices (</w:t>
      </w:r>
      <w:r w:rsidR="00CD4D7B">
        <w:rPr>
          <w:sz w:val="24"/>
          <w:szCs w:val="24"/>
          <w:lang w:val="en-US"/>
        </w:rPr>
        <w:t xml:space="preserve">Bowles &amp; Cogo, 2015; Matsuda, 2016; </w:t>
      </w:r>
      <w:proofErr w:type="spellStart"/>
      <w:r w:rsidR="00CD4D7B">
        <w:rPr>
          <w:sz w:val="24"/>
          <w:szCs w:val="24"/>
          <w:lang w:val="en-US"/>
        </w:rPr>
        <w:t>Sharifian</w:t>
      </w:r>
      <w:proofErr w:type="spellEnd"/>
      <w:r w:rsidR="00CD4D7B">
        <w:rPr>
          <w:sz w:val="24"/>
          <w:szCs w:val="24"/>
          <w:lang w:val="en-US"/>
        </w:rPr>
        <w:t xml:space="preserve">, 2009; Yasemin &amp; </w:t>
      </w:r>
      <w:proofErr w:type="spellStart"/>
      <w:r w:rsidR="00CD4D7B">
        <w:rPr>
          <w:sz w:val="24"/>
          <w:szCs w:val="24"/>
          <w:lang w:val="en-US"/>
        </w:rPr>
        <w:t>Akcan</w:t>
      </w:r>
      <w:proofErr w:type="spellEnd"/>
      <w:r w:rsidR="00CD4D7B">
        <w:rPr>
          <w:sz w:val="24"/>
          <w:szCs w:val="24"/>
          <w:lang w:val="en-US"/>
        </w:rPr>
        <w:t xml:space="preserve">, 2015; Vettorel, 2015), little has changed within the classroom and in teachers’ </w:t>
      </w:r>
      <w:r w:rsidR="005245F4">
        <w:rPr>
          <w:sz w:val="24"/>
          <w:szCs w:val="24"/>
          <w:lang w:val="en-US"/>
        </w:rPr>
        <w:t xml:space="preserve">beliefs and viewpoints </w:t>
      </w:r>
      <w:r w:rsidR="00CD4D7B">
        <w:rPr>
          <w:sz w:val="24"/>
          <w:szCs w:val="24"/>
          <w:lang w:val="en-US"/>
        </w:rPr>
        <w:t xml:space="preserve">due to the </w:t>
      </w:r>
      <w:r w:rsidR="00546631">
        <w:rPr>
          <w:sz w:val="24"/>
          <w:szCs w:val="24"/>
          <w:lang w:val="en-US"/>
        </w:rPr>
        <w:t xml:space="preserve">perceived </w:t>
      </w:r>
      <w:r w:rsidR="00CD4D7B">
        <w:rPr>
          <w:sz w:val="24"/>
          <w:szCs w:val="24"/>
          <w:lang w:val="en-US"/>
        </w:rPr>
        <w:t xml:space="preserve">maintenance of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traditional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ELT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approach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>es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which emphasize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teaching standard varieties</w:t>
      </w:r>
      <w:r w:rsidR="00FB4644">
        <w:rPr>
          <w:rFonts w:ascii="Calibri" w:hAnsi="Calibri" w:cs="Arial"/>
          <w:sz w:val="24"/>
          <w:szCs w:val="24"/>
          <w:lang w:val="en-US"/>
        </w:rPr>
        <w:t>--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>usually British and/or</w:t>
      </w:r>
      <w:r w:rsidR="00FB4644">
        <w:rPr>
          <w:rFonts w:ascii="Calibri" w:hAnsi="Calibri" w:cs="Arial"/>
          <w:sz w:val="24"/>
          <w:szCs w:val="24"/>
          <w:lang w:val="en-US"/>
        </w:rPr>
        <w:t xml:space="preserve"> American English--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and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their </w:t>
      </w:r>
      <w:r w:rsidR="00546631">
        <w:rPr>
          <w:rFonts w:ascii="Calibri" w:hAnsi="Calibri" w:cs="Arial"/>
          <w:sz w:val="24"/>
          <w:szCs w:val="24"/>
          <w:lang w:val="en-US"/>
        </w:rPr>
        <w:t>cultures,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the use of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the textbook </w:t>
      </w:r>
      <w:r w:rsidR="00546631">
        <w:rPr>
          <w:rFonts w:ascii="Calibri" w:hAnsi="Calibri" w:cs="Arial"/>
          <w:sz w:val="24"/>
          <w:szCs w:val="24"/>
          <w:lang w:val="en-US"/>
        </w:rPr>
        <w:t>as the main</w:t>
      </w:r>
      <w:r w:rsidR="00FB4644">
        <w:rPr>
          <w:rFonts w:ascii="Calibri" w:hAnsi="Calibri" w:cs="Arial"/>
          <w:sz w:val="24"/>
          <w:szCs w:val="24"/>
          <w:lang w:val="en-US"/>
        </w:rPr>
        <w:t>,</w:t>
      </w:r>
      <w:r w:rsidR="00546631">
        <w:rPr>
          <w:rFonts w:ascii="Calibri" w:hAnsi="Calibri" w:cs="Arial"/>
          <w:sz w:val="24"/>
          <w:szCs w:val="24"/>
          <w:lang w:val="en-US"/>
        </w:rPr>
        <w:t xml:space="preserve"> and sometimes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 </w:t>
      </w:r>
      <w:r w:rsidR="00546631">
        <w:rPr>
          <w:rFonts w:ascii="Calibri" w:hAnsi="Calibri" w:cs="Arial"/>
          <w:sz w:val="24"/>
          <w:szCs w:val="24"/>
          <w:lang w:val="en-US"/>
        </w:rPr>
        <w:t>sole</w:t>
      </w:r>
      <w:r w:rsidR="00FB4644">
        <w:rPr>
          <w:rFonts w:ascii="Calibri" w:hAnsi="Calibri" w:cs="Arial"/>
          <w:sz w:val="24"/>
          <w:szCs w:val="24"/>
          <w:lang w:val="en-US"/>
        </w:rPr>
        <w:t>,</w:t>
      </w:r>
      <w:r w:rsidR="00546631">
        <w:rPr>
          <w:rFonts w:ascii="Calibri" w:hAnsi="Calibri" w:cs="Arial"/>
          <w:sz w:val="24"/>
          <w:szCs w:val="24"/>
          <w:lang w:val="en-US"/>
        </w:rPr>
        <w:t xml:space="preserve">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sour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>ce of language input and the lack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 xml:space="preserve"> of supplementary materials that present English as an international </w:t>
      </w:r>
      <w:r w:rsidR="005245F4">
        <w:rPr>
          <w:rFonts w:ascii="Calibri" w:hAnsi="Calibri" w:cs="Arial"/>
          <w:sz w:val="24"/>
          <w:szCs w:val="24"/>
          <w:lang w:val="en-US"/>
        </w:rPr>
        <w:t xml:space="preserve">language (EIL) or English as a 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lingua franca</w:t>
      </w:r>
      <w:r w:rsidR="005245F4">
        <w:rPr>
          <w:rFonts w:ascii="Calibri" w:hAnsi="Calibri" w:cs="Arial"/>
          <w:sz w:val="24"/>
          <w:szCs w:val="24"/>
          <w:lang w:val="en-US"/>
        </w:rPr>
        <w:t xml:space="preserve"> (ELF)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.</w:t>
      </w:r>
      <w:r w:rsidR="004678DB">
        <w:rPr>
          <w:rFonts w:ascii="Calibri" w:hAnsi="Calibri" w:cs="Arial"/>
          <w:sz w:val="24"/>
          <w:szCs w:val="24"/>
          <w:lang w:val="en-US"/>
        </w:rPr>
        <w:t xml:space="preserve"> It is, thus, essential to investigate the reasons for such resistance and recommend practices and procedures to reverse this tendency.</w:t>
      </w:r>
    </w:p>
    <w:p w:rsidR="00284E63" w:rsidRPr="00284E63" w:rsidRDefault="00FB4644" w:rsidP="005007F1">
      <w:pPr>
        <w:jc w:val="both"/>
        <w:rPr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T</w:t>
      </w:r>
      <w:r w:rsidR="005245F4">
        <w:rPr>
          <w:rFonts w:ascii="Calibri" w:hAnsi="Calibri" w:cs="Arial"/>
          <w:sz w:val="24"/>
          <w:szCs w:val="24"/>
          <w:lang w:val="en-US"/>
        </w:rPr>
        <w:t>h</w:t>
      </w:r>
      <w:r>
        <w:rPr>
          <w:rFonts w:ascii="Calibri" w:hAnsi="Calibri" w:cs="Arial"/>
          <w:sz w:val="24"/>
          <w:szCs w:val="24"/>
          <w:lang w:val="en-US"/>
        </w:rPr>
        <w:t>erefore, th</w:t>
      </w:r>
      <w:r w:rsidR="005245F4">
        <w:rPr>
          <w:rFonts w:ascii="Calibri" w:hAnsi="Calibri" w:cs="Arial"/>
          <w:sz w:val="24"/>
          <w:szCs w:val="24"/>
          <w:lang w:val="en-US"/>
        </w:rPr>
        <w:t>is article analyzes and compares the attitudes and practices of n</w:t>
      </w:r>
      <w:r w:rsidR="00284E63" w:rsidRPr="00284E63">
        <w:rPr>
          <w:sz w:val="24"/>
          <w:szCs w:val="24"/>
          <w:lang w:val="en-US"/>
        </w:rPr>
        <w:t>on-native English-speaking teachers in private and public schools, language centers and in tutorial classes</w:t>
      </w:r>
      <w:r w:rsidR="005245F4">
        <w:rPr>
          <w:sz w:val="24"/>
          <w:szCs w:val="24"/>
          <w:lang w:val="en-US"/>
        </w:rPr>
        <w:t xml:space="preserve">. More specifically, it examines similarities and differences in terms of the </w:t>
      </w:r>
      <w:r>
        <w:rPr>
          <w:sz w:val="24"/>
          <w:szCs w:val="24"/>
          <w:lang w:val="en-US"/>
        </w:rPr>
        <w:t>school policies</w:t>
      </w:r>
      <w:r w:rsidR="005245F4">
        <w:rPr>
          <w:sz w:val="24"/>
          <w:szCs w:val="24"/>
          <w:lang w:val="en-US"/>
        </w:rPr>
        <w:t xml:space="preserve"> and the teachers’ individual </w:t>
      </w:r>
      <w:r>
        <w:rPr>
          <w:sz w:val="24"/>
          <w:szCs w:val="24"/>
          <w:lang w:val="en-US"/>
        </w:rPr>
        <w:t>perceptions and strategies</w:t>
      </w:r>
      <w:r w:rsidR="005245F4">
        <w:rPr>
          <w:sz w:val="24"/>
          <w:szCs w:val="24"/>
          <w:lang w:val="en-US"/>
        </w:rPr>
        <w:t>, the choice and use of textbooks and supplementary materials, as far as a linguistic and cultural ELF/EIL-based perspective is concerned, in those different teaching contexts.</w:t>
      </w:r>
    </w:p>
    <w:p w:rsidR="00284E63" w:rsidRDefault="005245F4" w:rsidP="005007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To accomplish that, it makes use of quantitative (questionnaires) and qualitative (interviews) data </w:t>
      </w:r>
      <w:r w:rsidR="00D144C9">
        <w:rPr>
          <w:rFonts w:ascii="Calibri" w:hAnsi="Calibri" w:cs="Arial"/>
          <w:sz w:val="24"/>
          <w:szCs w:val="24"/>
          <w:lang w:val="en-US"/>
        </w:rPr>
        <w:t xml:space="preserve">obtained from a group of Portuguese teachers who have taught in several levels of language competence (from young learners to advanced students) in different educational contexts and in tutorial sessions on a one-on-one basis or with small groups. </w:t>
      </w:r>
    </w:p>
    <w:p w:rsidR="003B5FEC" w:rsidRPr="00284E63" w:rsidRDefault="00D144C9" w:rsidP="005007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alibri" w:hAnsi="Calibri" w:cs="Arial"/>
          <w:sz w:val="24"/>
          <w:szCs w:val="24"/>
          <w:lang w:val="en-US"/>
        </w:rPr>
      </w:pPr>
      <w:r>
        <w:rPr>
          <w:rFonts w:ascii="Calibri" w:hAnsi="Calibri" w:cs="Arial"/>
          <w:sz w:val="24"/>
          <w:szCs w:val="24"/>
          <w:lang w:val="en-US"/>
        </w:rPr>
        <w:t>Generally speaking, this research aims at identifying similarities and/or differences in</w:t>
      </w:r>
      <w:r w:rsidR="005007F1">
        <w:rPr>
          <w:rFonts w:ascii="Calibri" w:hAnsi="Calibri" w:cs="Arial"/>
          <w:sz w:val="24"/>
          <w:szCs w:val="24"/>
          <w:lang w:val="en-US"/>
        </w:rPr>
        <w:t xml:space="preserve"> the approaches to teaching English in</w:t>
      </w:r>
      <w:r>
        <w:rPr>
          <w:rFonts w:ascii="Calibri" w:hAnsi="Calibri" w:cs="Arial"/>
          <w:sz w:val="24"/>
          <w:szCs w:val="24"/>
          <w:lang w:val="en-US"/>
        </w:rPr>
        <w:t xml:space="preserve"> the </w:t>
      </w:r>
      <w:r w:rsidR="005007F1">
        <w:rPr>
          <w:rFonts w:ascii="Calibri" w:hAnsi="Calibri" w:cs="Arial"/>
          <w:sz w:val="24"/>
          <w:szCs w:val="24"/>
          <w:lang w:val="en-US"/>
        </w:rPr>
        <w:t>diverse teaching environments</w:t>
      </w:r>
      <w:r>
        <w:rPr>
          <w:rFonts w:ascii="Calibri" w:hAnsi="Calibri" w:cs="Arial"/>
          <w:sz w:val="24"/>
          <w:szCs w:val="24"/>
          <w:lang w:val="en-US"/>
        </w:rPr>
        <w:t xml:space="preserve"> </w:t>
      </w:r>
      <w:r w:rsidR="005007F1">
        <w:rPr>
          <w:rFonts w:ascii="Calibri" w:hAnsi="Calibri" w:cs="Arial"/>
          <w:sz w:val="24"/>
          <w:szCs w:val="24"/>
          <w:lang w:val="en-US"/>
        </w:rPr>
        <w:t>and, consequently, suggest</w:t>
      </w:r>
      <w:r>
        <w:rPr>
          <w:rFonts w:ascii="Calibri" w:hAnsi="Calibri" w:cs="Arial"/>
          <w:sz w:val="24"/>
          <w:szCs w:val="24"/>
          <w:lang w:val="en-US"/>
        </w:rPr>
        <w:t xml:space="preserve"> i</w:t>
      </w:r>
      <w:r w:rsidR="003B5FEC" w:rsidRPr="00284E63">
        <w:rPr>
          <w:rFonts w:ascii="Calibri" w:hAnsi="Calibri" w:cs="Arial"/>
          <w:sz w:val="24"/>
          <w:szCs w:val="24"/>
          <w:lang w:val="en-US"/>
        </w:rPr>
        <w:t>n what way</w:t>
      </w:r>
      <w:r>
        <w:rPr>
          <w:rFonts w:ascii="Calibri" w:hAnsi="Calibri" w:cs="Arial"/>
          <w:sz w:val="24"/>
          <w:szCs w:val="24"/>
          <w:lang w:val="en-US"/>
        </w:rPr>
        <w:t>s a more inte</w:t>
      </w:r>
      <w:r w:rsidR="005007F1">
        <w:rPr>
          <w:rFonts w:ascii="Calibri" w:hAnsi="Calibri" w:cs="Arial"/>
          <w:sz w:val="24"/>
          <w:szCs w:val="24"/>
          <w:lang w:val="en-US"/>
        </w:rPr>
        <w:t>rnational and global perspective of English language and culture can be fostered.</w:t>
      </w:r>
    </w:p>
    <w:p w:rsidR="00AD30FD" w:rsidRPr="00284E63" w:rsidRDefault="005007F1" w:rsidP="005007F1">
      <w:pPr>
        <w:jc w:val="both"/>
        <w:rPr>
          <w:rFonts w:ascii="Calibri" w:hAnsi="Calibri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essence</w:t>
      </w:r>
      <w:r w:rsidR="00284E63" w:rsidRPr="00284E63">
        <w:rPr>
          <w:sz w:val="24"/>
          <w:szCs w:val="24"/>
          <w:lang w:val="en-US"/>
        </w:rPr>
        <w:t>, t</w:t>
      </w:r>
      <w:r w:rsidR="00AD30FD" w:rsidRPr="00284E63">
        <w:rPr>
          <w:sz w:val="24"/>
          <w:szCs w:val="24"/>
          <w:lang w:val="en-US"/>
        </w:rPr>
        <w:t xml:space="preserve">his article aims at proposing </w:t>
      </w:r>
      <w:r w:rsidR="00AD30FD" w:rsidRPr="00284E63">
        <w:rPr>
          <w:rFonts w:ascii="Calibri" w:hAnsi="Calibri" w:cs="Arial"/>
          <w:sz w:val="24"/>
          <w:szCs w:val="24"/>
          <w:lang w:val="en-US"/>
        </w:rPr>
        <w:t xml:space="preserve">that teacher trainers, cooperating teachers in teaching training programs, pre-service and in-service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teacher trainees, </w:t>
      </w:r>
      <w:r w:rsidR="00AD30FD" w:rsidRPr="00284E63">
        <w:rPr>
          <w:rFonts w:ascii="Calibri" w:hAnsi="Calibri" w:cs="Arial"/>
          <w:sz w:val="24"/>
          <w:szCs w:val="24"/>
          <w:lang w:val="en-US"/>
        </w:rPr>
        <w:t>practicing EFL teachers</w:t>
      </w:r>
      <w:r w:rsidR="00FB4644">
        <w:rPr>
          <w:rFonts w:ascii="Calibri" w:hAnsi="Calibri" w:cs="Arial"/>
          <w:sz w:val="24"/>
          <w:szCs w:val="24"/>
          <w:lang w:val="en-US"/>
        </w:rPr>
        <w:t xml:space="preserve"> and material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 xml:space="preserve"> designers</w:t>
      </w:r>
      <w:r w:rsidR="00AD30FD" w:rsidRPr="00284E63">
        <w:rPr>
          <w:rFonts w:ascii="Calibri" w:hAnsi="Calibri" w:cs="Arial"/>
          <w:sz w:val="24"/>
          <w:szCs w:val="24"/>
          <w:lang w:val="en-US"/>
        </w:rPr>
        <w:t xml:space="preserve"> incorporate innovative approaches to teaching </w:t>
      </w:r>
      <w:r w:rsidR="00284E63" w:rsidRPr="00284E63">
        <w:rPr>
          <w:rFonts w:ascii="Calibri" w:hAnsi="Calibri" w:cs="Arial"/>
          <w:sz w:val="24"/>
          <w:szCs w:val="24"/>
          <w:lang w:val="en-US"/>
        </w:rPr>
        <w:t>English which present the language as it is used nowadays by native and non-native speakers alike.</w:t>
      </w:r>
    </w:p>
    <w:p w:rsidR="00CD4D7B" w:rsidRPr="00CD4D7B" w:rsidRDefault="00CD4D7B" w:rsidP="00CD4D7B">
      <w:pPr>
        <w:rPr>
          <w:sz w:val="24"/>
          <w:szCs w:val="24"/>
          <w:lang w:val="en-US"/>
        </w:rPr>
      </w:pPr>
      <w:r w:rsidRPr="00CD4D7B">
        <w:rPr>
          <w:sz w:val="24"/>
          <w:szCs w:val="24"/>
          <w:lang w:val="en-US"/>
        </w:rPr>
        <w:lastRenderedPageBreak/>
        <w:t xml:space="preserve">Bayyurt, Yasemin &amp; Sumru </w:t>
      </w:r>
      <w:proofErr w:type="spellStart"/>
      <w:r w:rsidRPr="00CD4D7B">
        <w:rPr>
          <w:sz w:val="24"/>
          <w:szCs w:val="24"/>
          <w:lang w:val="en-US"/>
        </w:rPr>
        <w:t>Akcan</w:t>
      </w:r>
      <w:proofErr w:type="spellEnd"/>
      <w:r w:rsidRPr="00CD4D7B">
        <w:rPr>
          <w:sz w:val="24"/>
          <w:szCs w:val="24"/>
          <w:lang w:val="en-US"/>
        </w:rPr>
        <w:t xml:space="preserve"> (</w:t>
      </w:r>
      <w:proofErr w:type="gramStart"/>
      <w:r w:rsidRPr="00CD4D7B">
        <w:rPr>
          <w:sz w:val="24"/>
          <w:szCs w:val="24"/>
          <w:lang w:val="en-US"/>
        </w:rPr>
        <w:t>eds</w:t>
      </w:r>
      <w:proofErr w:type="gramEnd"/>
      <w:r w:rsidRPr="00CD4D7B">
        <w:rPr>
          <w:sz w:val="24"/>
          <w:szCs w:val="24"/>
          <w:lang w:val="en-US"/>
        </w:rPr>
        <w:t xml:space="preserve">.). 2015. </w:t>
      </w:r>
      <w:r w:rsidRPr="00CD4D7B">
        <w:rPr>
          <w:i/>
          <w:sz w:val="24"/>
          <w:szCs w:val="24"/>
          <w:lang w:val="en-US"/>
        </w:rPr>
        <w:t>Current perspectives on pedagogy for ELF</w:t>
      </w:r>
      <w:r w:rsidRPr="00CD4D7B">
        <w:rPr>
          <w:sz w:val="24"/>
          <w:szCs w:val="24"/>
          <w:lang w:val="en-US"/>
        </w:rPr>
        <w:t xml:space="preserve">. Berlin: De </w:t>
      </w:r>
      <w:proofErr w:type="spellStart"/>
      <w:r w:rsidRPr="00CD4D7B">
        <w:rPr>
          <w:sz w:val="24"/>
          <w:szCs w:val="24"/>
          <w:lang w:val="en-US"/>
        </w:rPr>
        <w:t>Gruyter</w:t>
      </w:r>
      <w:proofErr w:type="spellEnd"/>
      <w:r w:rsidRPr="00CD4D7B">
        <w:rPr>
          <w:sz w:val="24"/>
          <w:szCs w:val="24"/>
          <w:lang w:val="en-US"/>
        </w:rPr>
        <w:t xml:space="preserve"> Mouton.</w:t>
      </w:r>
    </w:p>
    <w:p w:rsidR="00CD4D7B" w:rsidRPr="00CD4D7B" w:rsidRDefault="00CD4D7B" w:rsidP="00CD4D7B">
      <w:pPr>
        <w:rPr>
          <w:sz w:val="24"/>
          <w:szCs w:val="24"/>
          <w:lang w:val="en-US"/>
        </w:rPr>
      </w:pPr>
      <w:r w:rsidRPr="00CD4D7B">
        <w:rPr>
          <w:sz w:val="24"/>
          <w:szCs w:val="24"/>
          <w:lang w:val="en-US"/>
        </w:rPr>
        <w:t>Bowles, Hugo &amp; Alessia Cogo (</w:t>
      </w:r>
      <w:proofErr w:type="gramStart"/>
      <w:r w:rsidRPr="00CD4D7B">
        <w:rPr>
          <w:sz w:val="24"/>
          <w:szCs w:val="24"/>
          <w:lang w:val="en-US"/>
        </w:rPr>
        <w:t>eds</w:t>
      </w:r>
      <w:proofErr w:type="gramEnd"/>
      <w:r w:rsidRPr="00CD4D7B">
        <w:rPr>
          <w:sz w:val="24"/>
          <w:szCs w:val="24"/>
          <w:lang w:val="en-US"/>
        </w:rPr>
        <w:t xml:space="preserve">.). 2015. </w:t>
      </w:r>
      <w:r w:rsidRPr="00CD4D7B">
        <w:rPr>
          <w:i/>
          <w:sz w:val="24"/>
          <w:szCs w:val="24"/>
          <w:lang w:val="en-US"/>
        </w:rPr>
        <w:t>International perspectives on teaching English as a Lingua Franca: Pedagogical insights</w:t>
      </w:r>
      <w:r w:rsidRPr="00CD4D7B">
        <w:rPr>
          <w:sz w:val="24"/>
          <w:szCs w:val="24"/>
          <w:lang w:val="en-US"/>
        </w:rPr>
        <w:t>. London: Palgrave MacMillan.</w:t>
      </w:r>
    </w:p>
    <w:p w:rsidR="00CD4D7B" w:rsidRPr="00CD4D7B" w:rsidRDefault="00CD4D7B" w:rsidP="00CD4D7B">
      <w:pPr>
        <w:pStyle w:val="Cabealho1"/>
        <w:spacing w:before="0" w:beforeAutospacing="0" w:after="270" w:afterAutospacing="0" w:line="330" w:lineRule="atLeast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CD4D7B">
        <w:rPr>
          <w:rFonts w:asciiTheme="minorHAnsi" w:hAnsiTheme="minorHAnsi" w:cstheme="minorHAnsi"/>
          <w:b w:val="0"/>
          <w:sz w:val="24"/>
          <w:szCs w:val="24"/>
          <w:lang w:val="en-US"/>
        </w:rPr>
        <w:t>Matsuda, Aya (</w:t>
      </w:r>
      <w:proofErr w:type="gramStart"/>
      <w:r w:rsidRPr="00CD4D7B">
        <w:rPr>
          <w:rFonts w:asciiTheme="minorHAnsi" w:hAnsiTheme="minorHAnsi" w:cstheme="minorHAnsi"/>
          <w:b w:val="0"/>
          <w:sz w:val="24"/>
          <w:szCs w:val="24"/>
          <w:lang w:val="en-US"/>
        </w:rPr>
        <w:t>ed</w:t>
      </w:r>
      <w:proofErr w:type="gramEnd"/>
      <w:r w:rsidRPr="00CD4D7B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.). 2016. </w:t>
      </w:r>
      <w:r w:rsidRPr="00CD4D7B">
        <w:rPr>
          <w:rFonts w:asciiTheme="minorHAnsi" w:hAnsiTheme="minorHAnsi" w:cstheme="minorHAnsi"/>
          <w:b w:val="0"/>
          <w:i/>
          <w:sz w:val="24"/>
          <w:szCs w:val="24"/>
          <w:lang w:val="en-US"/>
        </w:rPr>
        <w:t>Preparing Teachers to Teach English as an International Language</w:t>
      </w:r>
      <w:r w:rsidRPr="00CD4D7B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CD4D7B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Clevedon</w:t>
      </w:r>
      <w:proofErr w:type="spellEnd"/>
      <w:r w:rsidRPr="00CD4D7B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: Multilingual Matters.</w:t>
      </w:r>
      <w:r w:rsidRPr="00CD4D7B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</w:p>
    <w:p w:rsidR="00CD4D7B" w:rsidRPr="00CD4D7B" w:rsidRDefault="00CD4D7B" w:rsidP="00CD4D7B">
      <w:pPr>
        <w:rPr>
          <w:sz w:val="24"/>
          <w:szCs w:val="24"/>
          <w:lang w:val="en-US"/>
        </w:rPr>
      </w:pPr>
      <w:proofErr w:type="spellStart"/>
      <w:r w:rsidRPr="00CD4D7B">
        <w:rPr>
          <w:sz w:val="24"/>
          <w:szCs w:val="24"/>
          <w:lang w:val="en-US"/>
        </w:rPr>
        <w:t>Sharifian</w:t>
      </w:r>
      <w:proofErr w:type="spellEnd"/>
      <w:r w:rsidRPr="00CD4D7B">
        <w:rPr>
          <w:sz w:val="24"/>
          <w:szCs w:val="24"/>
          <w:lang w:val="en-US"/>
        </w:rPr>
        <w:t xml:space="preserve">, </w:t>
      </w:r>
      <w:proofErr w:type="spellStart"/>
      <w:r w:rsidRPr="00CD4D7B">
        <w:rPr>
          <w:sz w:val="24"/>
          <w:szCs w:val="24"/>
          <w:lang w:val="en-US"/>
        </w:rPr>
        <w:t>Farzad</w:t>
      </w:r>
      <w:proofErr w:type="spellEnd"/>
      <w:r w:rsidRPr="00CD4D7B">
        <w:rPr>
          <w:sz w:val="24"/>
          <w:szCs w:val="24"/>
          <w:lang w:val="en-US"/>
        </w:rPr>
        <w:t xml:space="preserve"> (</w:t>
      </w:r>
      <w:proofErr w:type="gramStart"/>
      <w:r w:rsidRPr="00CD4D7B">
        <w:rPr>
          <w:sz w:val="24"/>
          <w:szCs w:val="24"/>
          <w:lang w:val="en-US"/>
        </w:rPr>
        <w:t>ed</w:t>
      </w:r>
      <w:proofErr w:type="gramEnd"/>
      <w:r w:rsidRPr="00CD4D7B">
        <w:rPr>
          <w:sz w:val="24"/>
          <w:szCs w:val="24"/>
          <w:lang w:val="en-US"/>
        </w:rPr>
        <w:t xml:space="preserve">.). 2009. </w:t>
      </w:r>
      <w:r w:rsidRPr="00CD4D7B">
        <w:rPr>
          <w:i/>
          <w:sz w:val="24"/>
          <w:szCs w:val="24"/>
          <w:lang w:val="en-US"/>
        </w:rPr>
        <w:t>English as an International Language: Perspectives and pedagogical issues</w:t>
      </w:r>
      <w:r w:rsidRPr="00CD4D7B">
        <w:rPr>
          <w:sz w:val="24"/>
          <w:szCs w:val="24"/>
          <w:lang w:val="en-US"/>
        </w:rPr>
        <w:t xml:space="preserve">. </w:t>
      </w:r>
      <w:proofErr w:type="spellStart"/>
      <w:r w:rsidRPr="00CD4D7B">
        <w:rPr>
          <w:sz w:val="24"/>
          <w:szCs w:val="24"/>
          <w:lang w:val="en-US"/>
        </w:rPr>
        <w:t>Clevedon</w:t>
      </w:r>
      <w:proofErr w:type="spellEnd"/>
      <w:r w:rsidRPr="00CD4D7B">
        <w:rPr>
          <w:sz w:val="24"/>
          <w:szCs w:val="24"/>
          <w:lang w:val="en-US"/>
        </w:rPr>
        <w:t>: Multilingual Matters.</w:t>
      </w:r>
    </w:p>
    <w:p w:rsidR="00CD4D7B" w:rsidRPr="00CD4D7B" w:rsidRDefault="00CD4D7B" w:rsidP="003B5F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  <w:lang w:val="en-US"/>
        </w:rPr>
      </w:pPr>
      <w:r w:rsidRPr="00CD4D7B">
        <w:rPr>
          <w:sz w:val="24"/>
          <w:szCs w:val="24"/>
          <w:lang w:val="en-US"/>
        </w:rPr>
        <w:t>Vettorel, Paola (</w:t>
      </w:r>
      <w:proofErr w:type="gramStart"/>
      <w:r w:rsidRPr="00CD4D7B">
        <w:rPr>
          <w:sz w:val="24"/>
          <w:szCs w:val="24"/>
          <w:lang w:val="en-US"/>
        </w:rPr>
        <w:t>ed</w:t>
      </w:r>
      <w:proofErr w:type="gramEnd"/>
      <w:r w:rsidRPr="00CD4D7B">
        <w:rPr>
          <w:sz w:val="24"/>
          <w:szCs w:val="24"/>
          <w:lang w:val="en-US"/>
        </w:rPr>
        <w:t xml:space="preserve">.). 2015. </w:t>
      </w:r>
      <w:r w:rsidRPr="00CD4D7B">
        <w:rPr>
          <w:i/>
          <w:sz w:val="24"/>
          <w:szCs w:val="24"/>
          <w:lang w:val="en-US"/>
        </w:rPr>
        <w:t>New frontiers in teaching and learning English</w:t>
      </w:r>
      <w:r w:rsidRPr="00CD4D7B">
        <w:rPr>
          <w:sz w:val="24"/>
          <w:szCs w:val="24"/>
          <w:lang w:val="en-US"/>
        </w:rPr>
        <w:t>. London: Cambridge Scholars Publishing.</w:t>
      </w:r>
    </w:p>
    <w:sectPr w:rsidR="00CD4D7B" w:rsidRPr="00CD4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404AA"/>
    <w:multiLevelType w:val="hybridMultilevel"/>
    <w:tmpl w:val="31388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B0A23"/>
    <w:multiLevelType w:val="hybridMultilevel"/>
    <w:tmpl w:val="3E4C5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49"/>
    <w:rsid w:val="001C5049"/>
    <w:rsid w:val="00284E63"/>
    <w:rsid w:val="002F2557"/>
    <w:rsid w:val="003B5FEC"/>
    <w:rsid w:val="003D4C16"/>
    <w:rsid w:val="004678DB"/>
    <w:rsid w:val="005007F1"/>
    <w:rsid w:val="005245F4"/>
    <w:rsid w:val="00546631"/>
    <w:rsid w:val="0077248A"/>
    <w:rsid w:val="007F1098"/>
    <w:rsid w:val="00AD30FD"/>
    <w:rsid w:val="00CD4D7B"/>
    <w:rsid w:val="00D144C9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8C539-BD5E-46EA-80F2-AC2F877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49"/>
    <w:pPr>
      <w:spacing w:after="200" w:line="276" w:lineRule="auto"/>
    </w:pPr>
  </w:style>
  <w:style w:type="paragraph" w:styleId="Cabealho1">
    <w:name w:val="heading 1"/>
    <w:basedOn w:val="Normal"/>
    <w:link w:val="Cabealho1Carter"/>
    <w:uiPriority w:val="9"/>
    <w:qFormat/>
    <w:rsid w:val="00CD4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5049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D4D7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ub">
    <w:name w:val="aub"/>
    <w:basedOn w:val="Tipodeletrapredefinidodopargrafo"/>
    <w:rsid w:val="00CD4D7B"/>
  </w:style>
  <w:style w:type="character" w:customStyle="1" w:styleId="apple-converted-space">
    <w:name w:val="apple-converted-space"/>
    <w:basedOn w:val="Tipodeletrapredefinidodopargrafo"/>
    <w:rsid w:val="00CD4D7B"/>
  </w:style>
  <w:style w:type="character" w:styleId="Hiperligao">
    <w:name w:val="Hyperlink"/>
    <w:basedOn w:val="Tipodeletrapredefinidodopargrafo"/>
    <w:uiPriority w:val="99"/>
    <w:semiHidden/>
    <w:unhideWhenUsed/>
    <w:rsid w:val="00CD4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9F41-84ED-4417-AE8A-A79084B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Guerra</dc:creator>
  <cp:keywords/>
  <dc:description/>
  <cp:lastModifiedBy>Luis Guerra</cp:lastModifiedBy>
  <cp:revision>6</cp:revision>
  <dcterms:created xsi:type="dcterms:W3CDTF">2017-01-07T15:43:00Z</dcterms:created>
  <dcterms:modified xsi:type="dcterms:W3CDTF">2019-02-23T20:40:00Z</dcterms:modified>
</cp:coreProperties>
</file>