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B4" w:rsidRDefault="00AD48B4" w:rsidP="009B7A8F">
      <w:pPr>
        <w:autoSpaceDE w:val="0"/>
        <w:autoSpaceDN w:val="0"/>
        <w:adjustRightInd w:val="0"/>
        <w:spacing w:after="0" w:line="240" w:lineRule="auto"/>
        <w:jc w:val="both"/>
        <w:rPr>
          <w:rFonts w:cs="AdvP858B"/>
          <w:b/>
          <w:sz w:val="24"/>
          <w:szCs w:val="24"/>
          <w:lang w:val="en-US"/>
        </w:rPr>
      </w:pPr>
      <w:r w:rsidRPr="00415067">
        <w:rPr>
          <w:rFonts w:cs="AdvP858B"/>
          <w:b/>
          <w:sz w:val="24"/>
          <w:szCs w:val="24"/>
          <w:lang w:val="en-US"/>
        </w:rPr>
        <w:t>Biomass and nutrient dynamics in Mediterranean seasonal dimorphic shrubs: Strategies to face environmental constraints</w:t>
      </w:r>
    </w:p>
    <w:p w:rsidR="009B7A8F" w:rsidRPr="00415067" w:rsidRDefault="009B7A8F" w:rsidP="009B7A8F">
      <w:pPr>
        <w:autoSpaceDE w:val="0"/>
        <w:autoSpaceDN w:val="0"/>
        <w:adjustRightInd w:val="0"/>
        <w:spacing w:after="0" w:line="240" w:lineRule="auto"/>
        <w:jc w:val="both"/>
        <w:rPr>
          <w:rFonts w:cs="AdvP858B"/>
          <w:b/>
          <w:sz w:val="24"/>
          <w:szCs w:val="24"/>
          <w:lang w:val="en-US"/>
        </w:rPr>
      </w:pPr>
    </w:p>
    <w:p w:rsidR="00AD48B4" w:rsidRPr="00AD48B4" w:rsidRDefault="00107F36" w:rsidP="009B7A8F">
      <w:pPr>
        <w:autoSpaceDE w:val="0"/>
        <w:autoSpaceDN w:val="0"/>
        <w:adjustRightInd w:val="0"/>
        <w:spacing w:after="0" w:line="240" w:lineRule="auto"/>
        <w:jc w:val="both"/>
        <w:rPr>
          <w:rFonts w:cs="AdvP8585"/>
          <w:sz w:val="24"/>
          <w:szCs w:val="24"/>
        </w:rPr>
      </w:pPr>
      <w:r>
        <w:rPr>
          <w:rFonts w:cs="AdvP8585"/>
          <w:sz w:val="24"/>
          <w:szCs w:val="24"/>
        </w:rPr>
        <w:t>M. P. SIMÕ</w:t>
      </w:r>
      <w:r w:rsidR="00AD48B4" w:rsidRPr="00AD48B4">
        <w:rPr>
          <w:rFonts w:cs="AdvP8585"/>
          <w:sz w:val="24"/>
          <w:szCs w:val="24"/>
        </w:rPr>
        <w:t>ES</w:t>
      </w:r>
      <w:r w:rsidR="00AD48B4" w:rsidRPr="00107F36">
        <w:rPr>
          <w:rFonts w:cs="AdvP8585"/>
          <w:sz w:val="24"/>
          <w:szCs w:val="24"/>
          <w:vertAlign w:val="superscript"/>
        </w:rPr>
        <w:t>1</w:t>
      </w:r>
      <w:r w:rsidR="00AD48B4" w:rsidRPr="00AD48B4">
        <w:rPr>
          <w:rFonts w:cs="AdvP8585"/>
          <w:sz w:val="24"/>
          <w:szCs w:val="24"/>
        </w:rPr>
        <w:t>, M. MADEIRA</w:t>
      </w:r>
      <w:r w:rsidR="00AD48B4" w:rsidRPr="006307BB">
        <w:rPr>
          <w:rFonts w:cs="AdvP8585"/>
          <w:sz w:val="24"/>
          <w:szCs w:val="24"/>
          <w:vertAlign w:val="superscript"/>
        </w:rPr>
        <w:t>2</w:t>
      </w:r>
      <w:r w:rsidR="00AD48B4" w:rsidRPr="00AD48B4">
        <w:rPr>
          <w:rFonts w:cs="AdvP8585"/>
          <w:sz w:val="24"/>
          <w:szCs w:val="24"/>
        </w:rPr>
        <w:t>, &amp; L. GAZARINI</w:t>
      </w:r>
      <w:r w:rsidR="00AD48B4" w:rsidRPr="00161E30">
        <w:rPr>
          <w:rFonts w:cs="AdvP8585"/>
          <w:sz w:val="24"/>
          <w:szCs w:val="24"/>
          <w:vertAlign w:val="superscript"/>
        </w:rPr>
        <w:t>1</w:t>
      </w:r>
    </w:p>
    <w:p w:rsidR="00AD48B4" w:rsidRDefault="00AD48B4" w:rsidP="009B7A8F">
      <w:pPr>
        <w:autoSpaceDE w:val="0"/>
        <w:autoSpaceDN w:val="0"/>
        <w:adjustRightInd w:val="0"/>
        <w:spacing w:after="0" w:line="240" w:lineRule="auto"/>
        <w:jc w:val="both"/>
        <w:rPr>
          <w:rFonts w:ascii="AdvP8588" w:hAnsi="AdvP8588" w:cs="AdvP8588"/>
          <w:sz w:val="19"/>
          <w:szCs w:val="19"/>
        </w:rPr>
      </w:pPr>
      <w:r w:rsidRPr="00D4326E">
        <w:rPr>
          <w:rFonts w:cs="AdvP8585"/>
          <w:sz w:val="24"/>
          <w:szCs w:val="24"/>
          <w:vertAlign w:val="superscript"/>
        </w:rPr>
        <w:t>1</w:t>
      </w:r>
      <w:r w:rsidR="00107F36">
        <w:rPr>
          <w:rFonts w:cs="AdvP8588"/>
          <w:sz w:val="24"/>
          <w:szCs w:val="24"/>
        </w:rPr>
        <w:t>Instituto de Ciências Agrárias e Ambientais Mediterrâ</w:t>
      </w:r>
      <w:r w:rsidRPr="00AD48B4">
        <w:rPr>
          <w:rFonts w:cs="AdvP8588"/>
          <w:sz w:val="24"/>
          <w:szCs w:val="24"/>
        </w:rPr>
        <w:t xml:space="preserve">nicas/Departamento </w:t>
      </w:r>
      <w:r w:rsidR="00107F36">
        <w:rPr>
          <w:rFonts w:cs="AdvP8588"/>
          <w:sz w:val="24"/>
          <w:szCs w:val="24"/>
        </w:rPr>
        <w:t>de Biologia, Universidade de É</w:t>
      </w:r>
      <w:r w:rsidRPr="00AD48B4">
        <w:rPr>
          <w:rFonts w:cs="AdvP8588"/>
          <w:sz w:val="24"/>
          <w:szCs w:val="24"/>
        </w:rPr>
        <w:t>vora, Largo dos</w:t>
      </w:r>
      <w:r w:rsidR="00107F36">
        <w:rPr>
          <w:rFonts w:cs="AdvP8588"/>
          <w:sz w:val="24"/>
          <w:szCs w:val="24"/>
        </w:rPr>
        <w:t xml:space="preserve"> </w:t>
      </w:r>
      <w:r w:rsidRPr="00AD48B4">
        <w:rPr>
          <w:rFonts w:cs="AdvP8588"/>
          <w:sz w:val="24"/>
          <w:szCs w:val="24"/>
        </w:rPr>
        <w:t>Cole</w:t>
      </w:r>
      <w:r w:rsidR="00107F36">
        <w:rPr>
          <w:rFonts w:cs="AdvP8588"/>
          <w:sz w:val="24"/>
          <w:szCs w:val="24"/>
        </w:rPr>
        <w:t>giais, Apartado 94, 7002-554 É</w:t>
      </w:r>
      <w:r w:rsidRPr="00AD48B4">
        <w:rPr>
          <w:rFonts w:cs="AdvP8588"/>
          <w:sz w:val="24"/>
          <w:szCs w:val="24"/>
        </w:rPr>
        <w:t xml:space="preserve">vora, Portugal </w:t>
      </w:r>
      <w:proofErr w:type="spellStart"/>
      <w:r w:rsidRPr="00AD48B4">
        <w:rPr>
          <w:rFonts w:cs="AdvP8588"/>
          <w:sz w:val="24"/>
          <w:szCs w:val="24"/>
        </w:rPr>
        <w:t>and</w:t>
      </w:r>
      <w:proofErr w:type="spellEnd"/>
      <w:r w:rsidRPr="00AD48B4">
        <w:rPr>
          <w:rFonts w:cs="AdvP8588"/>
          <w:sz w:val="24"/>
          <w:szCs w:val="24"/>
        </w:rPr>
        <w:t xml:space="preserve"> </w:t>
      </w:r>
      <w:r w:rsidRPr="00BF18A4">
        <w:rPr>
          <w:rFonts w:cs="AdvP8585"/>
          <w:sz w:val="24"/>
          <w:szCs w:val="24"/>
          <w:vertAlign w:val="superscript"/>
        </w:rPr>
        <w:t>2</w:t>
      </w:r>
      <w:r w:rsidRPr="00AD48B4">
        <w:rPr>
          <w:rFonts w:cs="AdvP8588"/>
          <w:sz w:val="24"/>
          <w:szCs w:val="24"/>
        </w:rPr>
        <w:t>Instituto Superio</w:t>
      </w:r>
      <w:r w:rsidR="00107F36">
        <w:rPr>
          <w:rFonts w:cs="AdvP8588"/>
          <w:sz w:val="24"/>
          <w:szCs w:val="24"/>
        </w:rPr>
        <w:t>r de Agronomia, Universidade Té</w:t>
      </w:r>
      <w:r w:rsidRPr="00AD48B4">
        <w:rPr>
          <w:rFonts w:cs="AdvP8588"/>
          <w:sz w:val="24"/>
          <w:szCs w:val="24"/>
        </w:rPr>
        <w:t>cnica de Lisboa,</w:t>
      </w:r>
      <w:r w:rsidR="00415067">
        <w:rPr>
          <w:rFonts w:cs="AdvP8588"/>
          <w:sz w:val="24"/>
          <w:szCs w:val="24"/>
        </w:rPr>
        <w:t xml:space="preserve"> </w:t>
      </w:r>
      <w:r w:rsidRPr="00AD48B4">
        <w:rPr>
          <w:rFonts w:cs="AdvP8588"/>
          <w:sz w:val="24"/>
          <w:szCs w:val="24"/>
        </w:rPr>
        <w:t>Tapada da Ajuda, 1349-017 Lisboa, Portuga</w:t>
      </w:r>
      <w:r>
        <w:rPr>
          <w:rFonts w:ascii="AdvP8588" w:hAnsi="AdvP8588" w:cs="AdvP8588"/>
          <w:sz w:val="19"/>
          <w:szCs w:val="19"/>
        </w:rPr>
        <w:t>l</w:t>
      </w:r>
    </w:p>
    <w:p w:rsidR="006F1139" w:rsidRDefault="006F1139" w:rsidP="009B7A8F">
      <w:pPr>
        <w:autoSpaceDE w:val="0"/>
        <w:autoSpaceDN w:val="0"/>
        <w:adjustRightInd w:val="0"/>
        <w:spacing w:after="0" w:line="240" w:lineRule="auto"/>
        <w:jc w:val="both"/>
        <w:rPr>
          <w:rFonts w:ascii="AdvP8588" w:hAnsi="AdvP8588" w:cs="AdvP8588"/>
          <w:sz w:val="19"/>
          <w:szCs w:val="19"/>
        </w:rPr>
      </w:pPr>
    </w:p>
    <w:p w:rsidR="006F1139" w:rsidRPr="006F1139" w:rsidRDefault="006F1139" w:rsidP="009B7A8F">
      <w:pPr>
        <w:autoSpaceDE w:val="0"/>
        <w:autoSpaceDN w:val="0"/>
        <w:adjustRightInd w:val="0"/>
        <w:spacing w:after="0" w:line="240" w:lineRule="auto"/>
        <w:jc w:val="both"/>
        <w:rPr>
          <w:rFonts w:cs="AdvP8588"/>
          <w:lang w:val="en-US"/>
        </w:rPr>
      </w:pPr>
      <w:r w:rsidRPr="006F1139">
        <w:rPr>
          <w:rFonts w:cs="AdvP8588"/>
          <w:lang w:val="en-US"/>
        </w:rPr>
        <w:t xml:space="preserve">Plant </w:t>
      </w:r>
      <w:proofErr w:type="spellStart"/>
      <w:r w:rsidRPr="006F1139">
        <w:rPr>
          <w:rFonts w:cs="AdvP8588"/>
          <w:lang w:val="en-US"/>
        </w:rPr>
        <w:t>Biosystems</w:t>
      </w:r>
      <w:proofErr w:type="spellEnd"/>
      <w:r w:rsidRPr="006F1139">
        <w:rPr>
          <w:rFonts w:cs="AdvP8585"/>
          <w:lang w:val="en-US"/>
        </w:rPr>
        <w:t>, Vol. 146, No. 3, September 2012, pp. 500–510</w:t>
      </w:r>
    </w:p>
    <w:p w:rsidR="00AD48B4" w:rsidRPr="006F1139" w:rsidRDefault="00AD48B4" w:rsidP="008B0C48">
      <w:pPr>
        <w:autoSpaceDE w:val="0"/>
        <w:autoSpaceDN w:val="0"/>
        <w:adjustRightInd w:val="0"/>
        <w:spacing w:after="0" w:line="240" w:lineRule="auto"/>
        <w:jc w:val="both"/>
        <w:rPr>
          <w:rFonts w:cs="AdvP858B"/>
          <w:lang w:val="en-US"/>
        </w:rPr>
      </w:pPr>
    </w:p>
    <w:p w:rsidR="008B0C48" w:rsidRPr="00415067" w:rsidRDefault="008B0C48" w:rsidP="008B0C48">
      <w:pPr>
        <w:autoSpaceDE w:val="0"/>
        <w:autoSpaceDN w:val="0"/>
        <w:adjustRightInd w:val="0"/>
        <w:spacing w:after="0" w:line="240" w:lineRule="auto"/>
        <w:jc w:val="both"/>
        <w:rPr>
          <w:rFonts w:cs="AdvP858B"/>
        </w:rPr>
      </w:pPr>
      <w:proofErr w:type="spellStart"/>
      <w:r w:rsidRPr="00415067">
        <w:rPr>
          <w:rFonts w:cs="AdvP858B"/>
        </w:rPr>
        <w:t>Abstract</w:t>
      </w:r>
      <w:proofErr w:type="spellEnd"/>
    </w:p>
    <w:p w:rsidR="0020308A" w:rsidRPr="008B0C48" w:rsidRDefault="008B0C48" w:rsidP="008B0C48">
      <w:pPr>
        <w:autoSpaceDE w:val="0"/>
        <w:autoSpaceDN w:val="0"/>
        <w:adjustRightInd w:val="0"/>
        <w:spacing w:after="0" w:line="240" w:lineRule="auto"/>
        <w:jc w:val="both"/>
        <w:rPr>
          <w:rFonts w:cs="AdvP8585"/>
          <w:lang w:val="en-US"/>
        </w:rPr>
      </w:pPr>
      <w:r w:rsidRPr="008B0C48">
        <w:rPr>
          <w:rFonts w:cs="AdvP8585"/>
          <w:lang w:val="en-US"/>
        </w:rPr>
        <w:t xml:space="preserve">To analyze biomass and nutrient dynamics of Mediterranean seasonal dimorphic shrubs, aboveground biomass (AGB) and belowground biomass (BGB), </w:t>
      </w:r>
      <w:proofErr w:type="spellStart"/>
      <w:r w:rsidRPr="008B0C48">
        <w:rPr>
          <w:rFonts w:cs="AdvP8585"/>
          <w:lang w:val="en-US"/>
        </w:rPr>
        <w:t>litterfall</w:t>
      </w:r>
      <w:proofErr w:type="spellEnd"/>
      <w:r w:rsidRPr="008B0C48">
        <w:rPr>
          <w:rFonts w:cs="AdvP8585"/>
          <w:lang w:val="en-US"/>
        </w:rPr>
        <w:t xml:space="preserve"> (LF), aboveground net annual primary production (ANPP), and nutrient allocation and turnover were estimated in </w:t>
      </w:r>
      <w:proofErr w:type="spellStart"/>
      <w:r w:rsidRPr="008B0C48">
        <w:rPr>
          <w:rFonts w:cs="AdvP8588"/>
          <w:lang w:val="en-US"/>
        </w:rPr>
        <w:t>Cistus</w:t>
      </w:r>
      <w:proofErr w:type="spellEnd"/>
      <w:r w:rsidRPr="008B0C48">
        <w:rPr>
          <w:rFonts w:cs="AdvP8588"/>
          <w:lang w:val="en-US"/>
        </w:rPr>
        <w:t xml:space="preserve"> </w:t>
      </w:r>
      <w:proofErr w:type="spellStart"/>
      <w:r w:rsidRPr="008B0C48">
        <w:rPr>
          <w:rFonts w:cs="AdvP8588"/>
          <w:lang w:val="en-US"/>
        </w:rPr>
        <w:t>salviifolius</w:t>
      </w:r>
      <w:proofErr w:type="spellEnd"/>
      <w:r w:rsidRPr="008B0C48">
        <w:rPr>
          <w:rFonts w:cs="AdvP8588"/>
          <w:lang w:val="en-US"/>
        </w:rPr>
        <w:t xml:space="preserve"> </w:t>
      </w:r>
      <w:r w:rsidRPr="008B0C48">
        <w:rPr>
          <w:rFonts w:cs="AdvP8585"/>
          <w:lang w:val="en-US"/>
        </w:rPr>
        <w:t xml:space="preserve">and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ladanifer</w:t>
      </w:r>
      <w:proofErr w:type="spellEnd"/>
      <w:r w:rsidRPr="008B0C48">
        <w:rPr>
          <w:rFonts w:cs="AdvP8585"/>
          <w:lang w:val="en-US"/>
        </w:rPr>
        <w:t xml:space="preserve">, during two years, in southern Portugal. AGB, BGB, LF, and ANPP of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salviifolius</w:t>
      </w:r>
      <w:proofErr w:type="spellEnd"/>
      <w:r w:rsidRPr="008B0C48">
        <w:rPr>
          <w:rFonts w:cs="AdvP8588"/>
          <w:lang w:val="en-US"/>
        </w:rPr>
        <w:t xml:space="preserve"> </w:t>
      </w:r>
      <w:r w:rsidRPr="008B0C48">
        <w:rPr>
          <w:rFonts w:cs="AdvP8585"/>
          <w:lang w:val="en-US"/>
        </w:rPr>
        <w:t xml:space="preserve">are within the range reported for other seasonal dimorphic plants, while those of </w:t>
      </w:r>
      <w:r w:rsidRPr="008B0C48">
        <w:rPr>
          <w:rFonts w:cs="AdvP8588"/>
          <w:lang w:val="en-US"/>
        </w:rPr>
        <w:t>C.</w:t>
      </w:r>
      <w:r w:rsidRPr="008B0C48">
        <w:rPr>
          <w:rFonts w:cs="AdvP8585"/>
          <w:lang w:val="en-US"/>
        </w:rPr>
        <w:t xml:space="preserve"> </w:t>
      </w:r>
      <w:proofErr w:type="spellStart"/>
      <w:r w:rsidRPr="008B0C48">
        <w:rPr>
          <w:rFonts w:cs="AdvP8588"/>
          <w:lang w:val="en-US"/>
        </w:rPr>
        <w:t>ladanifer</w:t>
      </w:r>
      <w:proofErr w:type="spellEnd"/>
      <w:r w:rsidRPr="008B0C48">
        <w:rPr>
          <w:rFonts w:cs="AdvP8588"/>
          <w:lang w:val="en-US"/>
        </w:rPr>
        <w:t xml:space="preserve"> </w:t>
      </w:r>
      <w:r w:rsidRPr="008B0C48">
        <w:rPr>
          <w:rFonts w:cs="AdvP8585"/>
          <w:lang w:val="en-US"/>
        </w:rPr>
        <w:t xml:space="preserve">are closer to evergreen </w:t>
      </w:r>
      <w:proofErr w:type="spellStart"/>
      <w:r w:rsidRPr="008B0C48">
        <w:rPr>
          <w:rFonts w:cs="AdvP8585"/>
          <w:lang w:val="en-US"/>
        </w:rPr>
        <w:t>sclerophylls</w:t>
      </w:r>
      <w:proofErr w:type="spellEnd"/>
      <w:r w:rsidRPr="008B0C48">
        <w:rPr>
          <w:rFonts w:cs="AdvP8585"/>
          <w:lang w:val="en-US"/>
        </w:rPr>
        <w:t xml:space="preserve">. Leaf renewal was higher for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salviifolius</w:t>
      </w:r>
      <w:proofErr w:type="spellEnd"/>
      <w:r w:rsidRPr="008B0C48">
        <w:rPr>
          <w:rFonts w:cs="AdvP8588"/>
          <w:lang w:val="en-US"/>
        </w:rPr>
        <w:t xml:space="preserve"> </w:t>
      </w:r>
      <w:r w:rsidRPr="008B0C48">
        <w:rPr>
          <w:rFonts w:cs="AdvP8585"/>
          <w:lang w:val="en-US"/>
        </w:rPr>
        <w:t xml:space="preserve">than for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ladanifer</w:t>
      </w:r>
      <w:proofErr w:type="spellEnd"/>
      <w:r w:rsidRPr="008B0C48">
        <w:rPr>
          <w:rFonts w:cs="AdvP8585"/>
          <w:lang w:val="en-US"/>
        </w:rPr>
        <w:t xml:space="preserve">, especially for winter leaves, while root-to-shoot ratio and accumulation of live wood was greater in the latter. The concentrations of N, K, Ca, and Mg were lower in leaves of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ladanifer</w:t>
      </w:r>
      <w:proofErr w:type="spellEnd"/>
      <w:r w:rsidRPr="008B0C48">
        <w:rPr>
          <w:rFonts w:cs="AdvP8588"/>
          <w:lang w:val="en-US"/>
        </w:rPr>
        <w:t xml:space="preserve"> </w:t>
      </w:r>
      <w:r w:rsidRPr="008B0C48">
        <w:rPr>
          <w:rFonts w:cs="AdvP8585"/>
          <w:lang w:val="en-US"/>
        </w:rPr>
        <w:t xml:space="preserve">than in those of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salviifolius</w:t>
      </w:r>
      <w:proofErr w:type="spellEnd"/>
      <w:r w:rsidRPr="008B0C48">
        <w:rPr>
          <w:rFonts w:cs="AdvP8585"/>
          <w:lang w:val="en-US"/>
        </w:rPr>
        <w:t xml:space="preserve">, suggesting less nutritive requirements for the former. Moreover, leaf nutrient translocation was higher in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ladanifer</w:t>
      </w:r>
      <w:proofErr w:type="spellEnd"/>
      <w:r w:rsidRPr="008B0C48">
        <w:rPr>
          <w:rFonts w:cs="AdvP8588"/>
          <w:lang w:val="en-US"/>
        </w:rPr>
        <w:t xml:space="preserve"> </w:t>
      </w:r>
      <w:r w:rsidRPr="008B0C48">
        <w:rPr>
          <w:rFonts w:cs="AdvP8585"/>
          <w:lang w:val="en-US"/>
        </w:rPr>
        <w:t xml:space="preserve">than in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salviifolius</w:t>
      </w:r>
      <w:proofErr w:type="spellEnd"/>
      <w:r w:rsidRPr="008B0C48">
        <w:rPr>
          <w:rFonts w:cs="AdvP8585"/>
          <w:lang w:val="en-US"/>
        </w:rPr>
        <w:t xml:space="preserve">. Therefore,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ladanifer</w:t>
      </w:r>
      <w:proofErr w:type="spellEnd"/>
      <w:r w:rsidRPr="008B0C48">
        <w:rPr>
          <w:rFonts w:cs="AdvP8585"/>
          <w:lang w:val="en-US"/>
        </w:rPr>
        <w:t xml:space="preserve"> shrubs seem to be more efficient with respect to carbon uptake, even during severe drought, while those of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salviifolius</w:t>
      </w:r>
      <w:proofErr w:type="spellEnd"/>
      <w:r w:rsidRPr="008B0C48">
        <w:rPr>
          <w:rFonts w:cs="AdvP8585"/>
          <w:lang w:val="en-US"/>
        </w:rPr>
        <w:t xml:space="preserve"> act as weaker sinks more susceptible to the negative effects of drought. Additionally, </w:t>
      </w:r>
      <w:r w:rsidRPr="008B0C48">
        <w:rPr>
          <w:rFonts w:cs="AdvP8588"/>
          <w:lang w:val="en-US"/>
        </w:rPr>
        <w:t xml:space="preserve">C. </w:t>
      </w:r>
      <w:proofErr w:type="spellStart"/>
      <w:r w:rsidRPr="008B0C48">
        <w:rPr>
          <w:rFonts w:cs="AdvP8588"/>
          <w:lang w:val="en-US"/>
        </w:rPr>
        <w:t>ladanifer</w:t>
      </w:r>
      <w:proofErr w:type="spellEnd"/>
      <w:r w:rsidRPr="008B0C48">
        <w:rPr>
          <w:rFonts w:cs="AdvP8588"/>
          <w:lang w:val="en-US"/>
        </w:rPr>
        <w:t xml:space="preserve"> </w:t>
      </w:r>
      <w:r w:rsidRPr="008B0C48">
        <w:rPr>
          <w:rFonts w:cs="AdvP8585"/>
          <w:lang w:val="en-US"/>
        </w:rPr>
        <w:t>seems to have a competitive advantage in more arid conditions, as a great proportion of its annual nutrient requirement may derive from internal sources.</w:t>
      </w:r>
    </w:p>
    <w:sectPr w:rsidR="0020308A" w:rsidRPr="008B0C48" w:rsidSect="00536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dvP858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8585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858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C48"/>
    <w:rsid w:val="00107F36"/>
    <w:rsid w:val="00161E30"/>
    <w:rsid w:val="00415067"/>
    <w:rsid w:val="00536D86"/>
    <w:rsid w:val="006307BB"/>
    <w:rsid w:val="006F1139"/>
    <w:rsid w:val="00754410"/>
    <w:rsid w:val="008B0C48"/>
    <w:rsid w:val="009B7A8F"/>
    <w:rsid w:val="00AD48B4"/>
    <w:rsid w:val="00BF18A4"/>
    <w:rsid w:val="00D4326E"/>
    <w:rsid w:val="00F4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1579</Characters>
  <Application>Microsoft Office Word</Application>
  <DocSecurity>0</DocSecurity>
  <Lines>13</Lines>
  <Paragraphs>3</Paragraphs>
  <ScaleCrop>false</ScaleCrop>
  <Company>TOSHIBA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Carlos Gazarini</dc:creator>
  <cp:lastModifiedBy>Luiz Carlos Gazarini</cp:lastModifiedBy>
  <cp:revision>10</cp:revision>
  <dcterms:created xsi:type="dcterms:W3CDTF">2012-10-25T16:16:00Z</dcterms:created>
  <dcterms:modified xsi:type="dcterms:W3CDTF">2012-10-25T16:25:00Z</dcterms:modified>
</cp:coreProperties>
</file>