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44" w:rsidRPr="00E226EC" w:rsidRDefault="00D27644" w:rsidP="00E226EC">
      <w:pPr>
        <w:autoSpaceDE w:val="0"/>
        <w:autoSpaceDN w:val="0"/>
        <w:adjustRightInd w:val="0"/>
        <w:spacing w:after="0" w:line="240" w:lineRule="auto"/>
        <w:jc w:val="both"/>
        <w:rPr>
          <w:rFonts w:ascii="AdvimpSR" w:hAnsi="AdvimpSR" w:cs="AdvimpSR"/>
          <w:b/>
          <w:sz w:val="24"/>
          <w:szCs w:val="24"/>
          <w:lang w:val="en-US"/>
        </w:rPr>
      </w:pPr>
      <w:r w:rsidRPr="00E226EC">
        <w:rPr>
          <w:rFonts w:ascii="AdvimpSR-i" w:hAnsi="AdvimpSR-i" w:cs="AdvimpSR-i"/>
          <w:b/>
          <w:sz w:val="24"/>
          <w:szCs w:val="24"/>
          <w:lang w:val="en-US"/>
        </w:rPr>
        <w:t xml:space="preserve">In vitro </w:t>
      </w:r>
      <w:r w:rsidRPr="00E226EC">
        <w:rPr>
          <w:rFonts w:ascii="AdvimpSR" w:hAnsi="AdvimpSR" w:cs="AdvimpSR"/>
          <w:b/>
          <w:sz w:val="24"/>
          <w:szCs w:val="24"/>
          <w:lang w:val="en-US"/>
        </w:rPr>
        <w:t xml:space="preserve">efficacy of nitro- and </w:t>
      </w:r>
      <w:proofErr w:type="spellStart"/>
      <w:r w:rsidRPr="00E226EC">
        <w:rPr>
          <w:rFonts w:ascii="AdvimpSR" w:hAnsi="AdvimpSR" w:cs="AdvimpSR"/>
          <w:b/>
          <w:sz w:val="24"/>
          <w:szCs w:val="24"/>
          <w:lang w:val="en-US"/>
        </w:rPr>
        <w:t>bromo-thiazolyl-salicylamide</w:t>
      </w:r>
      <w:proofErr w:type="spellEnd"/>
      <w:r w:rsidRPr="00E226EC">
        <w:rPr>
          <w:rFonts w:ascii="AdvimpSR" w:hAnsi="AdvimpSR" w:cs="AdvimpSR"/>
          <w:b/>
          <w:sz w:val="24"/>
          <w:szCs w:val="24"/>
          <w:lang w:val="en-US"/>
        </w:rPr>
        <w:t xml:space="preserve"> </w:t>
      </w:r>
      <w:r w:rsidRPr="00E226EC">
        <w:rPr>
          <w:rFonts w:ascii="AdvimpSR" w:hAnsi="AdvimpSR" w:cs="AdvimpSR"/>
          <w:b/>
          <w:sz w:val="24"/>
          <w:szCs w:val="24"/>
          <w:lang w:val="en-US"/>
        </w:rPr>
        <w:t>compounds (</w:t>
      </w:r>
      <w:proofErr w:type="spellStart"/>
      <w:r w:rsidRPr="00E226EC">
        <w:rPr>
          <w:rFonts w:ascii="AdvimpSR" w:hAnsi="AdvimpSR" w:cs="AdvimpSR"/>
          <w:b/>
          <w:sz w:val="24"/>
          <w:szCs w:val="24"/>
          <w:lang w:val="en-US"/>
        </w:rPr>
        <w:t>thiazolides</w:t>
      </w:r>
      <w:proofErr w:type="spellEnd"/>
      <w:r w:rsidRPr="00E226EC">
        <w:rPr>
          <w:rFonts w:ascii="AdvimpSR" w:hAnsi="AdvimpSR" w:cs="AdvimpSR"/>
          <w:b/>
          <w:sz w:val="24"/>
          <w:szCs w:val="24"/>
          <w:lang w:val="en-US"/>
        </w:rPr>
        <w:t xml:space="preserve">) against </w:t>
      </w:r>
      <w:proofErr w:type="spellStart"/>
      <w:r w:rsidRPr="00E226EC">
        <w:rPr>
          <w:rFonts w:ascii="AdvimpSR-i" w:hAnsi="AdvimpSR-i" w:cs="AdvimpSR-i"/>
          <w:b/>
          <w:sz w:val="24"/>
          <w:szCs w:val="24"/>
          <w:lang w:val="en-US"/>
        </w:rPr>
        <w:t>Besnoitia</w:t>
      </w:r>
      <w:proofErr w:type="spellEnd"/>
      <w:r w:rsidRPr="00E226EC">
        <w:rPr>
          <w:rFonts w:ascii="AdvimpSR-i" w:hAnsi="AdvimpSR-i" w:cs="AdvimpSR-i"/>
          <w:b/>
          <w:sz w:val="24"/>
          <w:szCs w:val="24"/>
          <w:lang w:val="en-US"/>
        </w:rPr>
        <w:t xml:space="preserve"> </w:t>
      </w:r>
      <w:proofErr w:type="spellStart"/>
      <w:r w:rsidRPr="00E226EC">
        <w:rPr>
          <w:rFonts w:ascii="AdvimpSR-i" w:hAnsi="AdvimpSR-i" w:cs="AdvimpSR-i"/>
          <w:b/>
          <w:sz w:val="24"/>
          <w:szCs w:val="24"/>
          <w:lang w:val="en-US"/>
        </w:rPr>
        <w:t>besnoiti</w:t>
      </w:r>
      <w:proofErr w:type="spellEnd"/>
      <w:r w:rsidRPr="00E226EC">
        <w:rPr>
          <w:rFonts w:ascii="AdvimpSR-i" w:hAnsi="AdvimpSR-i" w:cs="AdvimpSR-i"/>
          <w:b/>
          <w:sz w:val="24"/>
          <w:szCs w:val="24"/>
          <w:lang w:val="en-US"/>
        </w:rPr>
        <w:t xml:space="preserve"> </w:t>
      </w:r>
      <w:r w:rsidRPr="00E226EC">
        <w:rPr>
          <w:rFonts w:ascii="AdvimpSR" w:hAnsi="AdvimpSR" w:cs="AdvimpSR"/>
          <w:b/>
          <w:sz w:val="24"/>
          <w:szCs w:val="24"/>
          <w:lang w:val="en-US"/>
        </w:rPr>
        <w:t>infection in Vero cells</w:t>
      </w:r>
    </w:p>
    <w:p w:rsidR="00D27644" w:rsidRPr="00D27644" w:rsidRDefault="00D27644" w:rsidP="00E226EC">
      <w:pPr>
        <w:autoSpaceDE w:val="0"/>
        <w:autoSpaceDN w:val="0"/>
        <w:adjustRightInd w:val="0"/>
        <w:spacing w:after="0" w:line="240" w:lineRule="auto"/>
        <w:jc w:val="both"/>
        <w:rPr>
          <w:rFonts w:ascii="AdvimpSR" w:hAnsi="AdvimpSR" w:cs="AdvimpSR"/>
          <w:sz w:val="24"/>
          <w:szCs w:val="24"/>
          <w:lang w:val="en-US"/>
        </w:rPr>
      </w:pPr>
    </w:p>
    <w:p w:rsidR="00D27644" w:rsidRPr="00D27644" w:rsidRDefault="00D27644" w:rsidP="00E226EC">
      <w:pPr>
        <w:autoSpaceDE w:val="0"/>
        <w:autoSpaceDN w:val="0"/>
        <w:adjustRightInd w:val="0"/>
        <w:spacing w:after="0" w:line="240" w:lineRule="auto"/>
        <w:jc w:val="both"/>
        <w:rPr>
          <w:rFonts w:ascii="AdvimpSR" w:hAnsi="AdvimpSR" w:cs="AdvimpSR"/>
          <w:sz w:val="24"/>
          <w:szCs w:val="24"/>
          <w:lang w:val="en-US"/>
        </w:rPr>
      </w:pPr>
      <w:r w:rsidRPr="00D27644">
        <w:rPr>
          <w:rFonts w:ascii="AdvimpSR" w:hAnsi="AdvimpSR" w:cs="AdvimpSR"/>
          <w:sz w:val="24"/>
          <w:szCs w:val="24"/>
          <w:lang w:val="en-US"/>
        </w:rPr>
        <w:t>SUMMARY</w:t>
      </w:r>
    </w:p>
    <w:p w:rsidR="00D27644" w:rsidRPr="00D27644" w:rsidRDefault="00D27644" w:rsidP="00E226EC">
      <w:pPr>
        <w:autoSpaceDE w:val="0"/>
        <w:autoSpaceDN w:val="0"/>
        <w:adjustRightInd w:val="0"/>
        <w:spacing w:after="0" w:line="240" w:lineRule="auto"/>
        <w:jc w:val="both"/>
        <w:rPr>
          <w:rFonts w:ascii="AdvimpSR" w:hAnsi="AdvimpSR" w:cs="AdvimpSR"/>
          <w:sz w:val="24"/>
          <w:szCs w:val="24"/>
          <w:lang w:val="en-US"/>
        </w:rPr>
      </w:pP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Nitazoxanide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(NTZ) and its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deacetylated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metabolite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tizoxanide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(TIZ) exhibit considerable </w:t>
      </w:r>
      <w:r w:rsidRPr="00D27644">
        <w:rPr>
          <w:rFonts w:ascii="AdvimpSR-i" w:hAnsi="AdvimpSR-i" w:cs="AdvimpSR-i"/>
          <w:sz w:val="24"/>
          <w:szCs w:val="24"/>
          <w:lang w:val="en-US"/>
        </w:rPr>
        <w:t xml:space="preserve">in vitro </w:t>
      </w:r>
      <w:r w:rsidRPr="00D27644">
        <w:rPr>
          <w:rFonts w:ascii="AdvimpSR" w:hAnsi="AdvimpSR" w:cs="AdvimpSR"/>
          <w:sz w:val="24"/>
          <w:szCs w:val="24"/>
          <w:lang w:val="en-US"/>
        </w:rPr>
        <w:t>activity against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 </w:t>
      </w:r>
      <w:proofErr w:type="spellStart"/>
      <w:r w:rsidRPr="00D27644">
        <w:rPr>
          <w:rFonts w:ascii="AdvimpSR-i" w:hAnsi="AdvimpSR-i" w:cs="AdvimpSR-i"/>
          <w:sz w:val="24"/>
          <w:szCs w:val="24"/>
          <w:lang w:val="en-US"/>
        </w:rPr>
        <w:t>Besnoitia</w:t>
      </w:r>
      <w:proofErr w:type="spellEnd"/>
      <w:r w:rsidRPr="00D27644">
        <w:rPr>
          <w:rFonts w:ascii="AdvimpSR-i" w:hAnsi="AdvimpSR-i" w:cs="AdvimpSR-i"/>
          <w:sz w:val="24"/>
          <w:szCs w:val="24"/>
          <w:lang w:val="en-US"/>
        </w:rPr>
        <w:t xml:space="preserve"> </w:t>
      </w:r>
      <w:proofErr w:type="spellStart"/>
      <w:r w:rsidRPr="00D27644">
        <w:rPr>
          <w:rFonts w:ascii="AdvimpSR-i" w:hAnsi="AdvimpSR-i" w:cs="AdvimpSR-i"/>
          <w:sz w:val="24"/>
          <w:szCs w:val="24"/>
          <w:lang w:val="en-US"/>
        </w:rPr>
        <w:t>besnoiti</w:t>
      </w:r>
      <w:proofErr w:type="spellEnd"/>
      <w:r w:rsidRPr="00D27644">
        <w:rPr>
          <w:rFonts w:ascii="AdvimpSR-i" w:hAnsi="AdvimpSR-i" w:cs="AdvimpSR-i"/>
          <w:sz w:val="24"/>
          <w:szCs w:val="24"/>
          <w:lang w:val="en-US"/>
        </w:rPr>
        <w:t xml:space="preserve">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tachyzoites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grown in Vero cells. Real-time-PCR was used to assess </w:t>
      </w:r>
      <w:r w:rsidRPr="00D27644">
        <w:rPr>
          <w:rFonts w:ascii="AdvimpSR-i" w:hAnsi="AdvimpSR-i" w:cs="AdvimpSR-i"/>
          <w:sz w:val="24"/>
          <w:szCs w:val="24"/>
          <w:lang w:val="en-US"/>
        </w:rPr>
        <w:t xml:space="preserve">B. </w:t>
      </w:r>
      <w:proofErr w:type="spellStart"/>
      <w:r w:rsidRPr="00D27644">
        <w:rPr>
          <w:rFonts w:ascii="AdvimpSR-i" w:hAnsi="AdvimpSR-i" w:cs="AdvimpSR-i"/>
          <w:sz w:val="24"/>
          <w:szCs w:val="24"/>
          <w:lang w:val="en-US"/>
        </w:rPr>
        <w:t>besnoiti</w:t>
      </w:r>
      <w:proofErr w:type="spellEnd"/>
      <w:r w:rsidRPr="00D27644">
        <w:rPr>
          <w:rFonts w:ascii="AdvimpSR-i" w:hAnsi="AdvimpSR-i" w:cs="AdvimpSR-i"/>
          <w:sz w:val="24"/>
          <w:szCs w:val="24"/>
          <w:lang w:val="en-US"/>
        </w:rPr>
        <w:t xml:space="preserve">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tachyzoite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adhesion,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 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invasion, and intracellular proliferation </w:t>
      </w:r>
      <w:r w:rsidRPr="00D27644">
        <w:rPr>
          <w:rFonts w:ascii="AdvimpSR-i" w:hAnsi="AdvimpSR-i" w:cs="AdvimpSR-i"/>
          <w:sz w:val="24"/>
          <w:szCs w:val="24"/>
          <w:lang w:val="en-US"/>
        </w:rPr>
        <w:t>in vitro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. A number of NTZ-derivatives, including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Rm4822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and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Rm4803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>, were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 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generated, in which the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thiazole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>-ring-associated nitro-group</w:t>
      </w:r>
      <w:bookmarkStart w:id="0" w:name="_GoBack"/>
      <w:bookmarkEnd w:id="0"/>
      <w:r w:rsidRPr="00D27644">
        <w:rPr>
          <w:rFonts w:ascii="AdvimpSR" w:hAnsi="AdvimpSR" w:cs="AdvimpSR"/>
          <w:sz w:val="24"/>
          <w:szCs w:val="24"/>
          <w:lang w:val="en-US"/>
        </w:rPr>
        <w:t xml:space="preserve"> was replaced by a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bromo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>-moiety. We here show that replacement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 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of the nitro-group on the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thiazole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ring with a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bromo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(as it occurs in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Rm4822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>) does not impair the efficacy of the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 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drug, but methylation of the salicylate ring at the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ortho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-position in a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bromo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>-derivative (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Rm4803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>) results in complete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 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abrogation of the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antiparasitic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activity. Treatment of extracellular </w:t>
      </w:r>
      <w:r w:rsidRPr="00D27644">
        <w:rPr>
          <w:rFonts w:ascii="AdvimpSR-i" w:hAnsi="AdvimpSR-i" w:cs="AdvimpSR-i"/>
          <w:sz w:val="24"/>
          <w:szCs w:val="24"/>
          <w:lang w:val="en-US"/>
        </w:rPr>
        <w:t xml:space="preserve">B. </w:t>
      </w:r>
      <w:proofErr w:type="spellStart"/>
      <w:r w:rsidRPr="00D27644">
        <w:rPr>
          <w:rFonts w:ascii="AdvimpSR-i" w:hAnsi="AdvimpSR-i" w:cs="AdvimpSR-i"/>
          <w:sz w:val="24"/>
          <w:szCs w:val="24"/>
          <w:lang w:val="en-US"/>
        </w:rPr>
        <w:t>besnoiti</w:t>
      </w:r>
      <w:proofErr w:type="spellEnd"/>
      <w:r w:rsidRPr="00D27644">
        <w:rPr>
          <w:rFonts w:ascii="AdvimpSR-i" w:hAnsi="AdvimpSR-i" w:cs="AdvimpSR-i"/>
          <w:sz w:val="24"/>
          <w:szCs w:val="24"/>
          <w:lang w:val="en-US"/>
        </w:rPr>
        <w:t xml:space="preserve">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tachyzoites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with NTZ has an inhibitory effect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 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on host cell invasion, while treatments with TIZ,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Rm4822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do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not.TEMdemonstrates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that the effects of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Rm4822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treatment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 </w:t>
      </w:r>
      <w:r w:rsidRPr="00D27644">
        <w:rPr>
          <w:rFonts w:ascii="AdvimpSR" w:hAnsi="AdvimpSR" w:cs="AdvimpSR"/>
          <w:sz w:val="24"/>
          <w:szCs w:val="24"/>
          <w:lang w:val="en-US"/>
        </w:rPr>
        <w:t>upon the parasites are similar to the damage induced by NTZ. This includes increased vacuolization of the parasite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 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cytoplasm, and loss of the structural integrity of the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parasitophorous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 vacuole and its membrane. Thus,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Rm4822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>, due to the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 </w:t>
      </w:r>
      <w:r w:rsidRPr="00D27644">
        <w:rPr>
          <w:rFonts w:ascii="AdvimpSR" w:hAnsi="AdvimpSR" w:cs="AdvimpSR"/>
          <w:sz w:val="24"/>
          <w:szCs w:val="24"/>
          <w:lang w:val="en-US"/>
        </w:rPr>
        <w:t>absence of a potentially mutagenic nitro-group, may represent an important potential addition to the anti-parasitic arsenal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 </w:t>
      </w:r>
      <w:r w:rsidRPr="00D27644">
        <w:rPr>
          <w:rFonts w:ascii="AdvimpSR" w:hAnsi="AdvimpSR" w:cs="AdvimpSR"/>
          <w:sz w:val="24"/>
          <w:szCs w:val="24"/>
          <w:lang w:val="en-US"/>
        </w:rPr>
        <w:t>for food animal production, especially in cattle.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 </w:t>
      </w:r>
    </w:p>
    <w:p w:rsidR="00D27644" w:rsidRPr="00D27644" w:rsidRDefault="00D27644" w:rsidP="00E226EC">
      <w:pPr>
        <w:autoSpaceDE w:val="0"/>
        <w:autoSpaceDN w:val="0"/>
        <w:adjustRightInd w:val="0"/>
        <w:spacing w:after="0" w:line="240" w:lineRule="auto"/>
        <w:jc w:val="both"/>
        <w:rPr>
          <w:rFonts w:ascii="AdvimpSR" w:hAnsi="AdvimpSR" w:cs="AdvimpSR"/>
          <w:sz w:val="24"/>
          <w:szCs w:val="24"/>
          <w:lang w:val="en-US"/>
        </w:rPr>
      </w:pPr>
    </w:p>
    <w:p w:rsidR="003304CC" w:rsidRPr="00D27644" w:rsidRDefault="00D27644" w:rsidP="00E226E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D27644">
        <w:rPr>
          <w:rFonts w:ascii="AdvimpSR" w:hAnsi="AdvimpSR" w:cs="AdvimpSR"/>
          <w:sz w:val="24"/>
          <w:szCs w:val="24"/>
          <w:lang w:val="en-US"/>
        </w:rPr>
        <w:t xml:space="preserve">Key words: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thiazolides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, </w:t>
      </w:r>
      <w:proofErr w:type="spellStart"/>
      <w:r w:rsidRPr="00D27644">
        <w:rPr>
          <w:rFonts w:ascii="AdvimpSR-i" w:hAnsi="AdvimpSR-i" w:cs="AdvimpSR-i"/>
          <w:sz w:val="24"/>
          <w:szCs w:val="24"/>
          <w:lang w:val="en-US"/>
        </w:rPr>
        <w:t>Besnoitia</w:t>
      </w:r>
      <w:proofErr w:type="spellEnd"/>
      <w:r w:rsidRPr="00D27644">
        <w:rPr>
          <w:rFonts w:ascii="AdvimpSR-i" w:hAnsi="AdvimpSR-i" w:cs="AdvimpSR-i"/>
          <w:sz w:val="24"/>
          <w:szCs w:val="24"/>
          <w:lang w:val="en-US"/>
        </w:rPr>
        <w:t xml:space="preserve"> </w:t>
      </w:r>
      <w:proofErr w:type="spellStart"/>
      <w:r w:rsidRPr="00D27644">
        <w:rPr>
          <w:rFonts w:ascii="AdvimpSR-i" w:hAnsi="AdvimpSR-i" w:cs="AdvimpSR-i"/>
          <w:sz w:val="24"/>
          <w:szCs w:val="24"/>
          <w:lang w:val="en-US"/>
        </w:rPr>
        <w:t>besnoiti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 xml:space="preserve">, </w:t>
      </w:r>
      <w:r w:rsidRPr="00D27644">
        <w:rPr>
          <w:rFonts w:ascii="AdvimpSR-i" w:hAnsi="AdvimpSR-i" w:cs="AdvimpSR-i"/>
          <w:sz w:val="24"/>
          <w:szCs w:val="24"/>
          <w:lang w:val="en-US"/>
        </w:rPr>
        <w:t xml:space="preserve">in vitro </w:t>
      </w:r>
      <w:r w:rsidRPr="00D27644">
        <w:rPr>
          <w:rFonts w:ascii="AdvimpSR" w:hAnsi="AdvimpSR" w:cs="AdvimpSR"/>
          <w:sz w:val="24"/>
          <w:szCs w:val="24"/>
          <w:lang w:val="en-US"/>
        </w:rPr>
        <w:t xml:space="preserve">drug treatment, </w:t>
      </w:r>
      <w:proofErr w:type="spellStart"/>
      <w:r w:rsidRPr="00D27644">
        <w:rPr>
          <w:rFonts w:ascii="AdvimpSR" w:hAnsi="AdvimpSR" w:cs="AdvimpSR"/>
          <w:sz w:val="24"/>
          <w:szCs w:val="24"/>
          <w:lang w:val="en-US"/>
        </w:rPr>
        <w:t>besnoitiosis</w:t>
      </w:r>
      <w:proofErr w:type="spellEnd"/>
      <w:r w:rsidRPr="00D27644">
        <w:rPr>
          <w:rFonts w:ascii="AdvimpSR" w:hAnsi="AdvimpSR" w:cs="AdvimpSR"/>
          <w:sz w:val="24"/>
          <w:szCs w:val="24"/>
          <w:lang w:val="en-US"/>
        </w:rPr>
        <w:t>.</w:t>
      </w:r>
    </w:p>
    <w:sectPr w:rsidR="003304CC" w:rsidRPr="00D27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impS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impSR-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01C"/>
    <w:rsid w:val="003304CC"/>
    <w:rsid w:val="00CB601C"/>
    <w:rsid w:val="00D27644"/>
    <w:rsid w:val="00E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Cortes</dc:creator>
  <cp:keywords/>
  <dc:description/>
  <cp:lastModifiedBy>Helder Cortes</cp:lastModifiedBy>
  <cp:revision>3</cp:revision>
  <dcterms:created xsi:type="dcterms:W3CDTF">2012-01-16T22:39:00Z</dcterms:created>
  <dcterms:modified xsi:type="dcterms:W3CDTF">2012-01-16T22:41:00Z</dcterms:modified>
</cp:coreProperties>
</file>