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333333"/>
        </w:rPr>
      </w:pPr>
      <w:r>
        <w:rPr>
          <w:rFonts w:ascii="HelveticaNeue-Medium" w:hAnsi="HelveticaNeue-Medium" w:cs="HelveticaNeue-Medium"/>
          <w:color w:val="333333"/>
        </w:rPr>
        <w:t>Carvalho Ribeiro et al e-book Florestas 2012</w:t>
      </w:r>
      <w:bookmarkStart w:id="0" w:name="_GoBack"/>
      <w:bookmarkEnd w:id="0"/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333333"/>
        </w:rPr>
      </w:pP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Os serviços de ecosistema florestal estão incluídos num grupo mais vasto definidos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como serviços de ecossistema (SE) pelo Millenium Ecosystem Assessement (MA 2003).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Os serviços do ecossistema florestal são: os benefícios que sociedade em geral, obtêm da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floresta e incluem serviços de produção, regulação, suporte e culturais. Este capítulo analisa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a condição e as tendências recentes de um conjunto de serviços dos ecossistemas florestais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no Norte de Portugal no período 1974-2010 e consistiu num esforço interdisciplinar para os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descrever e, na medida do possível, não só quantificar mas também mapear a sua distribuição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espacial. Na análise dos serviços de produção observou-se, em geral, um alto nível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de produtividade das florestas da região Norte, principalmente nas regiões PROF do Alto e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Baixo Minho e também no Tâmega. No entanto, a análise do integral anual de NDVI no período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2001- 2010 revelou uma tendência significativa de diminuição da produtividade numa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percentagem de píxeis relativos a áreas florestais, com particular incidência em áreas cuja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função principal é a produção. Em relação à produção de biomassa, foi estimado que o valor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potencial de produção só para as duas principais espécies florestais na região (pinheiro e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eucalipto) pode representar cerca de 7,3% do consumo de energia eléctrica na região NUTS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II Norte (dados relativos a 2009). A análise da condição dos serviços de regulação realizouse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para a regulação e purificação da água, para a mitigação dos riscos naturais e também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para o sequestro de carbono. Foi salientada a heterogeneidade da capacidade de provisão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dos serviços de regulação e purificação da água nas regiões do Minho e Trás-os-Montes,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bem como o importante papel das florestas regionais na fixação de carbono. Em relação à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mitigação de riscos naturais (ex. erosão do solo), a condição foi descrita como preocupante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já que muitas das áreas de aptidão florestal estão localizadas em áreas de elevado potencial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de erosão. Nos serviços de suporte foi analisada a condição da biodiversidade em áreas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florestais realçando o papel das florestas autóctones de carvalhos na provisão deste serviço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ainda que na região Norte a área destas florestas se mantenha inferior à área ocupada por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florestas plantadas sendo também a sua distribuição dispersa e fragmentada. No que respeita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aos serviços culturais, ainda que demosntrada a elevada “capacidade” da paisagem no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Norte para satisfazer diferentes procuras sociais foi também realçado que diferentes tipos de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lastRenderedPageBreak/>
        <w:t>floresta “podem satisfazer de modo diferente públicos distintos”. Mais preocupante ainda é a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possibilidade de que as preferências imediatas da sociedade em relação a um tipo de serviço</w:t>
      </w:r>
    </w:p>
    <w:p w:rsidR="00545D14" w:rsidRDefault="00545D14" w:rsidP="00545D1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333333"/>
        </w:rPr>
      </w:pPr>
      <w:r>
        <w:rPr>
          <w:rFonts w:ascii="HelveticaNeue-Light" w:hAnsi="HelveticaNeue-Light" w:cs="HelveticaNeue-Light"/>
          <w:color w:val="333333"/>
        </w:rPr>
        <w:t>(ex. recreio) poderem pôr em causa a provisão de outros serviços (ex. protecção do solo).</w:t>
      </w:r>
    </w:p>
    <w:p w:rsidR="00EC3726" w:rsidRDefault="00545D14" w:rsidP="00545D14">
      <w:r>
        <w:rPr>
          <w:rFonts w:ascii="HelveticaNeue-Light" w:hAnsi="HelveticaNeue-Light" w:cs="HelveticaNeue-Light"/>
          <w:color w:val="333333"/>
        </w:rPr>
        <w:t>Finalmente, o capítulo explora tendências recentes de acordo com três cenários possíveis:</w:t>
      </w:r>
    </w:p>
    <w:sectPr w:rsidR="00EC37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14"/>
    <w:rsid w:val="00096A4E"/>
    <w:rsid w:val="000971FA"/>
    <w:rsid w:val="000E3D66"/>
    <w:rsid w:val="00164891"/>
    <w:rsid w:val="0022364C"/>
    <w:rsid w:val="0025593F"/>
    <w:rsid w:val="0026035D"/>
    <w:rsid w:val="00273310"/>
    <w:rsid w:val="00305A21"/>
    <w:rsid w:val="00545D14"/>
    <w:rsid w:val="00556CD3"/>
    <w:rsid w:val="00564A51"/>
    <w:rsid w:val="005C0684"/>
    <w:rsid w:val="005C2C87"/>
    <w:rsid w:val="005C7A8F"/>
    <w:rsid w:val="005F7367"/>
    <w:rsid w:val="00614077"/>
    <w:rsid w:val="006B688E"/>
    <w:rsid w:val="006C6265"/>
    <w:rsid w:val="00781AB6"/>
    <w:rsid w:val="007F56A3"/>
    <w:rsid w:val="00801B18"/>
    <w:rsid w:val="00826A36"/>
    <w:rsid w:val="00832E14"/>
    <w:rsid w:val="00856FD1"/>
    <w:rsid w:val="00881ABB"/>
    <w:rsid w:val="008A1108"/>
    <w:rsid w:val="008C4E4E"/>
    <w:rsid w:val="0095177A"/>
    <w:rsid w:val="00974F74"/>
    <w:rsid w:val="00A424E2"/>
    <w:rsid w:val="00A510A0"/>
    <w:rsid w:val="00A8616F"/>
    <w:rsid w:val="00AA6732"/>
    <w:rsid w:val="00AE071F"/>
    <w:rsid w:val="00B30560"/>
    <w:rsid w:val="00B44135"/>
    <w:rsid w:val="00BD2728"/>
    <w:rsid w:val="00C4119F"/>
    <w:rsid w:val="00CB3E78"/>
    <w:rsid w:val="00CC7A66"/>
    <w:rsid w:val="00D72295"/>
    <w:rsid w:val="00D93AFF"/>
    <w:rsid w:val="00E52890"/>
    <w:rsid w:val="00EC3726"/>
    <w:rsid w:val="00FA66BE"/>
    <w:rsid w:val="00FD0C3B"/>
    <w:rsid w:val="00FE2B2D"/>
    <w:rsid w:val="00FE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1</cp:revision>
  <dcterms:created xsi:type="dcterms:W3CDTF">2013-01-30T17:11:00Z</dcterms:created>
  <dcterms:modified xsi:type="dcterms:W3CDTF">2013-01-30T17:12:00Z</dcterms:modified>
</cp:coreProperties>
</file>